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51" w:rsidRPr="0047287C" w:rsidRDefault="00262251" w:rsidP="00262251">
      <w:pPr>
        <w:pStyle w:val="SemEspaamento"/>
      </w:pPr>
      <w:r w:rsidRPr="0047287C">
        <w:t>Sorocaba, 25 de setembro de 2015.</w:t>
      </w:r>
    </w:p>
    <w:p w:rsidR="00262251" w:rsidRPr="0047287C" w:rsidRDefault="00262251" w:rsidP="00262251">
      <w:pPr>
        <w:pStyle w:val="SemEspaamento"/>
      </w:pPr>
      <w:r w:rsidRPr="0047287C">
        <w:t>SEJ-DCDAO-PL-EX- 093/2015</w:t>
      </w:r>
    </w:p>
    <w:p w:rsidR="00262251" w:rsidRPr="0047287C" w:rsidRDefault="00262251" w:rsidP="00262251">
      <w:pPr>
        <w:pStyle w:val="SemEspaamento"/>
        <w:tabs>
          <w:tab w:val="left" w:pos="1985"/>
        </w:tabs>
      </w:pPr>
    </w:p>
    <w:p w:rsidR="00262251" w:rsidRPr="0047287C" w:rsidRDefault="00262251" w:rsidP="00262251">
      <w:pPr>
        <w:pStyle w:val="SemEspaamento"/>
      </w:pPr>
      <w:r w:rsidRPr="0047287C">
        <w:t xml:space="preserve">Excelentíssimo Senhor Presidente: </w:t>
      </w:r>
    </w:p>
    <w:p w:rsidR="00262251" w:rsidRPr="0047287C" w:rsidRDefault="00262251" w:rsidP="00262251">
      <w:pPr>
        <w:rPr>
          <w:sz w:val="24"/>
          <w:szCs w:val="24"/>
        </w:rPr>
      </w:pPr>
      <w:r w:rsidRPr="0047287C">
        <w:rPr>
          <w:sz w:val="24"/>
          <w:szCs w:val="24"/>
        </w:rPr>
        <w:t>Tenho a honra de encaminhar a V. Exa, em obediência ao que dispõe a Lei Orgânica do Município, para apreciação e votação por parte dos membros dessa Egrégia Casa, Projeto de Lei que dispõe sobre o Orçamento do Município para o exercício de 2016, compreendendo a administração direta e a indireta.</w:t>
      </w:r>
    </w:p>
    <w:p w:rsidR="00262251" w:rsidRPr="0047287C" w:rsidRDefault="00262251" w:rsidP="00262251">
      <w:pPr>
        <w:pStyle w:val="Corpodetexto"/>
        <w:rPr>
          <w:szCs w:val="24"/>
        </w:rPr>
      </w:pPr>
      <w:r w:rsidRPr="0047287C">
        <w:rPr>
          <w:szCs w:val="24"/>
        </w:rPr>
        <w:t>A elaboração do Projeto obedeceu às normas constitucionais em vigor e à legislação pertinente, particularmente à Lei Federal nº 4.320/1964, à Lei Complementar Federal nº 101/2000 (Lei de Responsabilidade Fiscal) e à Lei de Diretrizes Orçamentárias do Município, bem como a Instruções e Portarias reguladoras editadas pelo Ministério do Planejamento, Orçamento e Gestão e pelo Ministério da Fazenda.</w:t>
      </w:r>
    </w:p>
    <w:p w:rsidR="00262251" w:rsidRPr="0047287C" w:rsidRDefault="00262251" w:rsidP="00262251">
      <w:pPr>
        <w:pStyle w:val="Corpodetexto"/>
        <w:rPr>
          <w:szCs w:val="24"/>
        </w:rPr>
      </w:pPr>
      <w:r w:rsidRPr="0047287C">
        <w:rPr>
          <w:szCs w:val="24"/>
        </w:rPr>
        <w:t>Os programas e ações constantes do projeto estão perfeitamente compatíveis com os demais instrumentos da sistemática de planejamento orçamentário, consoante dispõe o art. 165 da Constituição Federal.</w:t>
      </w:r>
    </w:p>
    <w:p w:rsidR="00262251" w:rsidRPr="0047287C" w:rsidRDefault="00262251" w:rsidP="00262251">
      <w:pPr>
        <w:pStyle w:val="Corpodetexto"/>
        <w:rPr>
          <w:szCs w:val="24"/>
        </w:rPr>
      </w:pPr>
      <w:r w:rsidRPr="0047287C">
        <w:rPr>
          <w:szCs w:val="24"/>
        </w:rPr>
        <w:t xml:space="preserve">O Projeto de Lei Orçamentária ora encaminhado à apreciação dessa Casa Legislativa observa os </w:t>
      </w:r>
      <w:r w:rsidRPr="0047287C">
        <w:rPr>
          <w:i/>
          <w:iCs/>
          <w:szCs w:val="24"/>
        </w:rPr>
        <w:t>Programas</w:t>
      </w:r>
      <w:r w:rsidRPr="0047287C">
        <w:rPr>
          <w:szCs w:val="24"/>
        </w:rPr>
        <w:t xml:space="preserve"> concebidos no Plano Plurianual para o período 2014/2017, elaborado nos termos do art. 165, § 1º, da Magna Carta, e classificações definidas pelas normas editadas pelo Ministério do Planejamento, Orçamento e Gestão e pelo Ministério da Fazenda.</w:t>
      </w:r>
    </w:p>
    <w:p w:rsidR="00262251" w:rsidRPr="0047287C" w:rsidRDefault="00262251" w:rsidP="00262251">
      <w:pPr>
        <w:rPr>
          <w:sz w:val="24"/>
          <w:szCs w:val="24"/>
        </w:rPr>
      </w:pPr>
      <w:r w:rsidRPr="0047287C">
        <w:rPr>
          <w:sz w:val="24"/>
          <w:szCs w:val="24"/>
        </w:rPr>
        <w:t xml:space="preserve">Este Projeto foi preparado em ambiente econômico adverso, devido, principalmente, à crise do setor industrial nacional e às tentativas de ajuste econômicas mal sucedidas. Além disso, o desempenho abaixo das expectativas impacta diretamente no investimento estrangeiro direto e retarda a retomada do crescimento. Em 2014, o Brasil apresentou taxa de crescimento real do Produto Interno Bruto – PIB de 0,1%, ao passo que, para 2015, as projeções são de retração e agravam-se a cada semana. </w:t>
      </w:r>
    </w:p>
    <w:p w:rsidR="00262251" w:rsidRPr="0047287C" w:rsidRDefault="00262251" w:rsidP="00262251">
      <w:pPr>
        <w:rPr>
          <w:sz w:val="24"/>
          <w:szCs w:val="24"/>
        </w:rPr>
      </w:pPr>
      <w:r w:rsidRPr="0047287C">
        <w:rPr>
          <w:sz w:val="24"/>
          <w:szCs w:val="24"/>
        </w:rPr>
        <w:t xml:space="preserve">Ao longo de 2015, o desempenho do PIB no Brasil vem sendo influenciado, em grande medida, pela instabilidade da produção industrial, evidenciada pela queda do número de empregos. Esse fato decorre desde </w:t>
      </w:r>
      <w:r>
        <w:rPr>
          <w:sz w:val="24"/>
          <w:szCs w:val="24"/>
        </w:rPr>
        <w:t>o</w:t>
      </w:r>
      <w:r w:rsidRPr="0047287C">
        <w:rPr>
          <w:sz w:val="24"/>
          <w:szCs w:val="24"/>
        </w:rPr>
        <w:t xml:space="preserve">utubro de 2011, ou seja, são 46 meses consecutivos de retração. Apenas nos primeiros sete meses de 2015, a redução do emprego industrial somou 5,4%, o que evidencia a severidade da crise atual. </w:t>
      </w:r>
    </w:p>
    <w:p w:rsidR="00262251" w:rsidRPr="0047287C" w:rsidRDefault="00262251" w:rsidP="00262251">
      <w:pPr>
        <w:rPr>
          <w:sz w:val="24"/>
          <w:szCs w:val="24"/>
        </w:rPr>
      </w:pPr>
      <w:r w:rsidRPr="0047287C">
        <w:rPr>
          <w:sz w:val="24"/>
          <w:szCs w:val="24"/>
        </w:rPr>
        <w:t>Conforme o Relatório Focus do Banco Central (18 de setembro de 2015), a expectativa de crescimento do PIB brasileiro para 2015 é de -2,7%, o que reflete a 10ª semana de queda na previsão. Quanto à taxa de inflação (IPCA) e à taxa de juros (SELIC) para 2015, ainda de acordo com o mesmo relatório, espera-se que mantenha 9,34% e 14,25% ao ano, respectivamente. Diante deste quadro, as variáveis de crescimento econômico, inflação e taxa de juros, bem como suas perspectivas, mantém viés bastante desfavorável, conforme se observa na tabela a seguir.</w:t>
      </w:r>
    </w:p>
    <w:p w:rsidR="00262251" w:rsidRPr="00A54364" w:rsidRDefault="00262251" w:rsidP="00262251">
      <w:pPr>
        <w:ind w:firstLine="1985"/>
        <w:jc w:val="both"/>
        <w:rPr>
          <w:sz w:val="22"/>
          <w:szCs w:val="22"/>
        </w:rPr>
      </w:pPr>
    </w:p>
    <w:p w:rsidR="00262251" w:rsidRPr="00A54364" w:rsidRDefault="00262251" w:rsidP="00262251">
      <w:pPr>
        <w:pStyle w:val="Corpodetexto"/>
        <w:ind w:firstLine="709"/>
        <w:rPr>
          <w:sz w:val="22"/>
          <w:szCs w:val="22"/>
        </w:rPr>
      </w:pPr>
    </w:p>
    <w:p w:rsidR="00262251" w:rsidRPr="00A54364" w:rsidRDefault="00262251" w:rsidP="00262251">
      <w:pPr>
        <w:jc w:val="center"/>
        <w:rPr>
          <w:b/>
          <w:sz w:val="22"/>
          <w:szCs w:val="22"/>
        </w:rPr>
      </w:pPr>
      <w:r w:rsidRPr="00A54364">
        <w:rPr>
          <w:b/>
          <w:sz w:val="22"/>
          <w:szCs w:val="22"/>
        </w:rPr>
        <w:t>Indicadores Econômicos Projetados – Relatório Focus do Banco Central</w:t>
      </w:r>
    </w:p>
    <w:tbl>
      <w:tblPr>
        <w:tblW w:w="5000" w:type="pct"/>
        <w:jc w:val="center"/>
        <w:tblBorders>
          <w:top w:val="single" w:sz="8" w:space="0" w:color="000000"/>
          <w:bottom w:val="single" w:sz="8" w:space="0" w:color="000000"/>
        </w:tblBorders>
        <w:tblLook w:val="04A0" w:firstRow="1" w:lastRow="0" w:firstColumn="1" w:lastColumn="0" w:noHBand="0" w:noVBand="1"/>
      </w:tblPr>
      <w:tblGrid>
        <w:gridCol w:w="6635"/>
        <w:gridCol w:w="1860"/>
      </w:tblGrid>
      <w:tr w:rsidR="00262251" w:rsidRPr="00A54364" w:rsidTr="00DB1A2F">
        <w:trPr>
          <w:trHeight w:val="340"/>
          <w:jc w:val="center"/>
        </w:trPr>
        <w:tc>
          <w:tcPr>
            <w:tcW w:w="3905" w:type="pct"/>
            <w:tcBorders>
              <w:top w:val="single" w:sz="4" w:space="0" w:color="auto"/>
              <w:left w:val="single" w:sz="4" w:space="0" w:color="auto"/>
              <w:bottom w:val="single" w:sz="4" w:space="0" w:color="auto"/>
              <w:right w:val="single" w:sz="4" w:space="0" w:color="auto"/>
            </w:tcBorders>
            <w:noWrap/>
            <w:vAlign w:val="center"/>
          </w:tcPr>
          <w:p w:rsidR="00262251" w:rsidRPr="00A54364" w:rsidRDefault="00262251" w:rsidP="00DB1A2F">
            <w:pPr>
              <w:jc w:val="center"/>
              <w:rPr>
                <w:b/>
                <w:bCs/>
                <w:sz w:val="22"/>
                <w:szCs w:val="22"/>
              </w:rPr>
            </w:pPr>
            <w:r w:rsidRPr="00A54364">
              <w:rPr>
                <w:b/>
                <w:bCs/>
                <w:sz w:val="22"/>
                <w:szCs w:val="22"/>
              </w:rPr>
              <w:t>Indicadores Projetados</w:t>
            </w:r>
          </w:p>
        </w:tc>
        <w:tc>
          <w:tcPr>
            <w:tcW w:w="1095" w:type="pct"/>
            <w:tcBorders>
              <w:top w:val="single" w:sz="4" w:space="0" w:color="auto"/>
              <w:left w:val="single" w:sz="4" w:space="0" w:color="auto"/>
              <w:bottom w:val="single" w:sz="4" w:space="0" w:color="auto"/>
              <w:right w:val="single" w:sz="4" w:space="0" w:color="auto"/>
            </w:tcBorders>
            <w:noWrap/>
            <w:vAlign w:val="center"/>
          </w:tcPr>
          <w:p w:rsidR="00262251" w:rsidRPr="00A54364" w:rsidRDefault="00262251" w:rsidP="00DB1A2F">
            <w:pPr>
              <w:jc w:val="center"/>
              <w:rPr>
                <w:b/>
                <w:bCs/>
                <w:sz w:val="22"/>
                <w:szCs w:val="22"/>
              </w:rPr>
            </w:pPr>
            <w:r w:rsidRPr="00A54364">
              <w:rPr>
                <w:b/>
                <w:bCs/>
                <w:sz w:val="22"/>
                <w:szCs w:val="22"/>
              </w:rPr>
              <w:t>2015</w:t>
            </w:r>
          </w:p>
        </w:tc>
      </w:tr>
      <w:tr w:rsidR="00262251" w:rsidRPr="00A54364" w:rsidTr="00DB1A2F">
        <w:trPr>
          <w:trHeight w:val="340"/>
          <w:jc w:val="center"/>
        </w:trPr>
        <w:tc>
          <w:tcPr>
            <w:tcW w:w="3905"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262251" w:rsidRPr="00A54364" w:rsidRDefault="00262251" w:rsidP="00DB1A2F">
            <w:pPr>
              <w:rPr>
                <w:bCs/>
                <w:sz w:val="22"/>
                <w:szCs w:val="22"/>
              </w:rPr>
            </w:pPr>
            <w:r w:rsidRPr="00A54364">
              <w:rPr>
                <w:bCs/>
                <w:sz w:val="22"/>
                <w:szCs w:val="22"/>
              </w:rPr>
              <w:t>PIB (% do crescimento)</w:t>
            </w:r>
          </w:p>
        </w:tc>
        <w:tc>
          <w:tcPr>
            <w:tcW w:w="1095"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262251" w:rsidRPr="00A54364" w:rsidRDefault="00262251" w:rsidP="00DB1A2F">
            <w:pPr>
              <w:jc w:val="center"/>
              <w:rPr>
                <w:sz w:val="22"/>
                <w:szCs w:val="22"/>
              </w:rPr>
            </w:pPr>
            <w:r w:rsidRPr="00A54364">
              <w:rPr>
                <w:sz w:val="22"/>
                <w:szCs w:val="22"/>
              </w:rPr>
              <w:t>-2,7</w:t>
            </w:r>
          </w:p>
        </w:tc>
      </w:tr>
      <w:tr w:rsidR="00262251" w:rsidRPr="00A54364" w:rsidTr="00DB1A2F">
        <w:trPr>
          <w:trHeight w:val="340"/>
          <w:jc w:val="center"/>
        </w:trPr>
        <w:tc>
          <w:tcPr>
            <w:tcW w:w="3905" w:type="pct"/>
            <w:tcBorders>
              <w:top w:val="single" w:sz="4" w:space="0" w:color="auto"/>
              <w:left w:val="single" w:sz="4" w:space="0" w:color="auto"/>
              <w:bottom w:val="single" w:sz="4" w:space="0" w:color="auto"/>
              <w:right w:val="single" w:sz="4" w:space="0" w:color="auto"/>
            </w:tcBorders>
            <w:noWrap/>
            <w:vAlign w:val="center"/>
          </w:tcPr>
          <w:p w:rsidR="00262251" w:rsidRPr="00A54364" w:rsidRDefault="00262251" w:rsidP="00DB1A2F">
            <w:pPr>
              <w:rPr>
                <w:bCs/>
                <w:sz w:val="22"/>
                <w:szCs w:val="22"/>
              </w:rPr>
            </w:pPr>
            <w:r w:rsidRPr="00A54364">
              <w:rPr>
                <w:bCs/>
                <w:sz w:val="22"/>
                <w:szCs w:val="22"/>
              </w:rPr>
              <w:t>Inflação - IPCA (%)</w:t>
            </w:r>
          </w:p>
        </w:tc>
        <w:tc>
          <w:tcPr>
            <w:tcW w:w="1095" w:type="pct"/>
            <w:tcBorders>
              <w:top w:val="single" w:sz="4" w:space="0" w:color="auto"/>
              <w:left w:val="single" w:sz="4" w:space="0" w:color="auto"/>
              <w:bottom w:val="single" w:sz="4" w:space="0" w:color="auto"/>
              <w:right w:val="single" w:sz="4" w:space="0" w:color="auto"/>
            </w:tcBorders>
            <w:noWrap/>
            <w:vAlign w:val="center"/>
          </w:tcPr>
          <w:p w:rsidR="00262251" w:rsidRPr="00A54364" w:rsidRDefault="00262251" w:rsidP="00DB1A2F">
            <w:pPr>
              <w:jc w:val="center"/>
              <w:rPr>
                <w:sz w:val="22"/>
                <w:szCs w:val="22"/>
              </w:rPr>
            </w:pPr>
            <w:r w:rsidRPr="00A54364">
              <w:rPr>
                <w:sz w:val="22"/>
                <w:szCs w:val="22"/>
              </w:rPr>
              <w:t>9,34</w:t>
            </w:r>
          </w:p>
        </w:tc>
      </w:tr>
      <w:tr w:rsidR="00262251" w:rsidRPr="00A54364" w:rsidTr="00DB1A2F">
        <w:trPr>
          <w:trHeight w:val="340"/>
          <w:jc w:val="center"/>
        </w:trPr>
        <w:tc>
          <w:tcPr>
            <w:tcW w:w="3905"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262251" w:rsidRPr="00A54364" w:rsidRDefault="00262251" w:rsidP="00DB1A2F">
            <w:pPr>
              <w:rPr>
                <w:bCs/>
                <w:sz w:val="22"/>
                <w:szCs w:val="22"/>
              </w:rPr>
            </w:pPr>
            <w:r w:rsidRPr="00A54364">
              <w:rPr>
                <w:bCs/>
                <w:sz w:val="22"/>
                <w:szCs w:val="22"/>
              </w:rPr>
              <w:t>Meta Taxa Selic - fim de período (% a.a.)</w:t>
            </w:r>
          </w:p>
        </w:tc>
        <w:tc>
          <w:tcPr>
            <w:tcW w:w="1095"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262251" w:rsidRPr="00A54364" w:rsidRDefault="00262251" w:rsidP="00DB1A2F">
            <w:pPr>
              <w:jc w:val="center"/>
              <w:rPr>
                <w:sz w:val="22"/>
                <w:szCs w:val="22"/>
              </w:rPr>
            </w:pPr>
            <w:r w:rsidRPr="00A54364">
              <w:rPr>
                <w:sz w:val="22"/>
                <w:szCs w:val="22"/>
              </w:rPr>
              <w:t>14,25</w:t>
            </w:r>
          </w:p>
        </w:tc>
      </w:tr>
    </w:tbl>
    <w:p w:rsidR="00262251" w:rsidRPr="00A54364" w:rsidRDefault="00262251" w:rsidP="00262251">
      <w:pPr>
        <w:jc w:val="both"/>
        <w:rPr>
          <w:sz w:val="22"/>
          <w:szCs w:val="22"/>
          <w:lang w:eastAsia="en-US"/>
        </w:rPr>
      </w:pPr>
      <w:r w:rsidRPr="00A54364">
        <w:rPr>
          <w:sz w:val="22"/>
          <w:szCs w:val="22"/>
        </w:rPr>
        <w:t>Fonte: Relatório Focus do Banco Central, 18 de setembro de 2015</w:t>
      </w:r>
    </w:p>
    <w:p w:rsidR="00262251" w:rsidRPr="0047287C" w:rsidRDefault="00262251" w:rsidP="00262251">
      <w:pPr>
        <w:ind w:firstLine="1985"/>
        <w:jc w:val="both"/>
        <w:rPr>
          <w:sz w:val="24"/>
          <w:szCs w:val="24"/>
        </w:rPr>
      </w:pPr>
    </w:p>
    <w:p w:rsidR="00262251" w:rsidRPr="0047287C" w:rsidRDefault="00262251" w:rsidP="00262251">
      <w:pPr>
        <w:rPr>
          <w:sz w:val="24"/>
          <w:szCs w:val="24"/>
        </w:rPr>
      </w:pPr>
      <w:r w:rsidRPr="0047287C">
        <w:rPr>
          <w:sz w:val="24"/>
          <w:szCs w:val="24"/>
        </w:rPr>
        <w:lastRenderedPageBreak/>
        <w:t>Para a elaboração deste Projeto de Lei sobre o Orçamento do Município foi considerado o incremento das receitas tributárias municipais em linha com a retração do PIB, acrescido da taxa de inflação – IPCA (esperados para 2015, mas com impactos em 2016). Ademais, foram acrescentadas à receita, R$ 77 milhões relativos a operações de crédito e R$ 26 milhões relativos a transferências de capital.</w:t>
      </w:r>
    </w:p>
    <w:p w:rsidR="00262251" w:rsidRDefault="00262251" w:rsidP="00262251">
      <w:pPr>
        <w:pStyle w:val="Corpodetexto"/>
        <w:ind w:firstLine="709"/>
        <w:rPr>
          <w:sz w:val="22"/>
          <w:szCs w:val="22"/>
        </w:rPr>
      </w:pPr>
    </w:p>
    <w:p w:rsidR="00262251" w:rsidRPr="0047287C" w:rsidRDefault="00262251" w:rsidP="00262251">
      <w:pPr>
        <w:jc w:val="center"/>
        <w:rPr>
          <w:b/>
          <w:sz w:val="24"/>
          <w:szCs w:val="24"/>
        </w:rPr>
      </w:pPr>
      <w:r w:rsidRPr="0047287C">
        <w:rPr>
          <w:b/>
          <w:sz w:val="24"/>
          <w:szCs w:val="24"/>
        </w:rPr>
        <w:t xml:space="preserve">Operações de Crédito e Transferências de Capital – em R$ mil </w:t>
      </w:r>
    </w:p>
    <w:p w:rsidR="00262251" w:rsidRPr="00A54364" w:rsidRDefault="00262251" w:rsidP="00262251">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3"/>
        <w:gridCol w:w="2212"/>
      </w:tblGrid>
      <w:tr w:rsidR="00262251" w:rsidRPr="00A54364" w:rsidTr="00DB1A2F">
        <w:trPr>
          <w:trHeight w:val="283"/>
        </w:trPr>
        <w:tc>
          <w:tcPr>
            <w:tcW w:w="3698" w:type="pct"/>
            <w:noWrap/>
            <w:vAlign w:val="center"/>
            <w:hideMark/>
          </w:tcPr>
          <w:p w:rsidR="00262251" w:rsidRPr="00A54364" w:rsidRDefault="00262251" w:rsidP="00DB1A2F">
            <w:pPr>
              <w:jc w:val="center"/>
              <w:rPr>
                <w:b/>
                <w:bCs/>
                <w:sz w:val="22"/>
                <w:szCs w:val="22"/>
              </w:rPr>
            </w:pPr>
            <w:r w:rsidRPr="00A54364">
              <w:rPr>
                <w:b/>
                <w:bCs/>
                <w:sz w:val="22"/>
                <w:szCs w:val="22"/>
              </w:rPr>
              <w:t>Receita</w:t>
            </w:r>
          </w:p>
        </w:tc>
        <w:tc>
          <w:tcPr>
            <w:tcW w:w="1302" w:type="pct"/>
            <w:noWrap/>
            <w:vAlign w:val="center"/>
            <w:hideMark/>
          </w:tcPr>
          <w:p w:rsidR="00262251" w:rsidRPr="00A54364" w:rsidRDefault="00262251" w:rsidP="00DB1A2F">
            <w:pPr>
              <w:jc w:val="center"/>
              <w:rPr>
                <w:b/>
                <w:bCs/>
                <w:sz w:val="22"/>
                <w:szCs w:val="22"/>
              </w:rPr>
            </w:pPr>
            <w:r w:rsidRPr="00A54364">
              <w:rPr>
                <w:b/>
                <w:bCs/>
                <w:sz w:val="22"/>
                <w:szCs w:val="22"/>
              </w:rPr>
              <w:t>2016</w:t>
            </w:r>
          </w:p>
        </w:tc>
      </w:tr>
      <w:tr w:rsidR="00262251" w:rsidRPr="00A54364" w:rsidTr="00DB1A2F">
        <w:trPr>
          <w:trHeight w:val="283"/>
        </w:trPr>
        <w:tc>
          <w:tcPr>
            <w:tcW w:w="3698" w:type="pct"/>
            <w:shd w:val="clear" w:color="auto" w:fill="C0C0C0"/>
            <w:noWrap/>
            <w:vAlign w:val="center"/>
            <w:hideMark/>
          </w:tcPr>
          <w:p w:rsidR="00262251" w:rsidRPr="00A54364" w:rsidRDefault="00262251" w:rsidP="00DB1A2F">
            <w:pPr>
              <w:rPr>
                <w:b/>
                <w:bCs/>
                <w:sz w:val="22"/>
                <w:szCs w:val="22"/>
              </w:rPr>
            </w:pPr>
            <w:r w:rsidRPr="00A54364">
              <w:rPr>
                <w:b/>
                <w:bCs/>
                <w:sz w:val="22"/>
                <w:szCs w:val="22"/>
              </w:rPr>
              <w:t>Operações de Crédito</w:t>
            </w:r>
          </w:p>
        </w:tc>
        <w:tc>
          <w:tcPr>
            <w:tcW w:w="1302" w:type="pct"/>
            <w:shd w:val="clear" w:color="auto" w:fill="C0C0C0"/>
            <w:noWrap/>
            <w:vAlign w:val="center"/>
            <w:hideMark/>
          </w:tcPr>
          <w:p w:rsidR="00262251" w:rsidRPr="00A54364" w:rsidRDefault="00262251" w:rsidP="00DB1A2F">
            <w:pPr>
              <w:jc w:val="center"/>
              <w:rPr>
                <w:b/>
                <w:bCs/>
                <w:sz w:val="22"/>
                <w:szCs w:val="22"/>
              </w:rPr>
            </w:pPr>
            <w:r w:rsidRPr="00A54364">
              <w:rPr>
                <w:b/>
                <w:bCs/>
                <w:sz w:val="22"/>
                <w:szCs w:val="22"/>
              </w:rPr>
              <w:t>77.281</w:t>
            </w:r>
          </w:p>
        </w:tc>
      </w:tr>
      <w:tr w:rsidR="00262251" w:rsidRPr="00A54364" w:rsidTr="00DB1A2F">
        <w:trPr>
          <w:trHeight w:val="283"/>
        </w:trPr>
        <w:tc>
          <w:tcPr>
            <w:tcW w:w="3698" w:type="pct"/>
            <w:shd w:val="clear" w:color="auto" w:fill="auto"/>
            <w:noWrap/>
            <w:vAlign w:val="center"/>
            <w:hideMark/>
          </w:tcPr>
          <w:p w:rsidR="00262251" w:rsidRPr="00A54364" w:rsidRDefault="00262251" w:rsidP="00DB1A2F">
            <w:pPr>
              <w:rPr>
                <w:b/>
                <w:bCs/>
                <w:i/>
                <w:iCs/>
                <w:sz w:val="22"/>
                <w:szCs w:val="22"/>
              </w:rPr>
            </w:pPr>
            <w:r w:rsidRPr="00A54364">
              <w:rPr>
                <w:bCs/>
                <w:i/>
                <w:iCs/>
                <w:sz w:val="22"/>
                <w:szCs w:val="22"/>
              </w:rPr>
              <w:t>BRT</w:t>
            </w:r>
          </w:p>
        </w:tc>
        <w:tc>
          <w:tcPr>
            <w:tcW w:w="1302" w:type="pct"/>
            <w:shd w:val="clear" w:color="auto" w:fill="auto"/>
            <w:noWrap/>
            <w:vAlign w:val="center"/>
            <w:hideMark/>
          </w:tcPr>
          <w:p w:rsidR="00262251" w:rsidRPr="00A54364" w:rsidRDefault="00262251" w:rsidP="00DB1A2F">
            <w:pPr>
              <w:jc w:val="center"/>
              <w:rPr>
                <w:i/>
                <w:iCs/>
                <w:sz w:val="22"/>
                <w:szCs w:val="22"/>
              </w:rPr>
            </w:pPr>
            <w:r w:rsidRPr="00A54364">
              <w:rPr>
                <w:i/>
                <w:iCs/>
                <w:sz w:val="22"/>
                <w:szCs w:val="22"/>
              </w:rPr>
              <w:t>20.000</w:t>
            </w:r>
          </w:p>
        </w:tc>
      </w:tr>
      <w:tr w:rsidR="00262251" w:rsidRPr="00A54364" w:rsidTr="00DB1A2F">
        <w:trPr>
          <w:trHeight w:val="283"/>
        </w:trPr>
        <w:tc>
          <w:tcPr>
            <w:tcW w:w="3698" w:type="pct"/>
            <w:shd w:val="clear" w:color="auto" w:fill="auto"/>
            <w:noWrap/>
            <w:vAlign w:val="center"/>
            <w:hideMark/>
          </w:tcPr>
          <w:p w:rsidR="00262251" w:rsidRPr="00A54364" w:rsidRDefault="00262251" w:rsidP="00DB1A2F">
            <w:pPr>
              <w:rPr>
                <w:b/>
                <w:bCs/>
                <w:i/>
                <w:iCs/>
                <w:sz w:val="22"/>
                <w:szCs w:val="22"/>
              </w:rPr>
            </w:pPr>
            <w:r w:rsidRPr="00A54364">
              <w:rPr>
                <w:bCs/>
                <w:i/>
                <w:iCs/>
                <w:sz w:val="22"/>
                <w:szCs w:val="22"/>
              </w:rPr>
              <w:t>Desenvolve SP</w:t>
            </w:r>
          </w:p>
        </w:tc>
        <w:tc>
          <w:tcPr>
            <w:tcW w:w="1302" w:type="pct"/>
            <w:shd w:val="clear" w:color="auto" w:fill="auto"/>
            <w:noWrap/>
            <w:vAlign w:val="center"/>
            <w:hideMark/>
          </w:tcPr>
          <w:p w:rsidR="00262251" w:rsidRPr="00A54364" w:rsidRDefault="00262251" w:rsidP="00DB1A2F">
            <w:pPr>
              <w:jc w:val="center"/>
              <w:rPr>
                <w:i/>
                <w:iCs/>
                <w:sz w:val="22"/>
                <w:szCs w:val="22"/>
              </w:rPr>
            </w:pPr>
            <w:r w:rsidRPr="00A54364">
              <w:rPr>
                <w:i/>
                <w:iCs/>
                <w:sz w:val="22"/>
                <w:szCs w:val="22"/>
              </w:rPr>
              <w:t>7.000</w:t>
            </w:r>
          </w:p>
        </w:tc>
      </w:tr>
      <w:tr w:rsidR="00262251" w:rsidRPr="00A54364" w:rsidTr="00DB1A2F">
        <w:trPr>
          <w:trHeight w:val="283"/>
        </w:trPr>
        <w:tc>
          <w:tcPr>
            <w:tcW w:w="3698" w:type="pct"/>
            <w:shd w:val="clear" w:color="auto" w:fill="auto"/>
            <w:noWrap/>
            <w:vAlign w:val="center"/>
            <w:hideMark/>
          </w:tcPr>
          <w:p w:rsidR="00262251" w:rsidRPr="00A54364" w:rsidRDefault="00262251" w:rsidP="00DB1A2F">
            <w:pPr>
              <w:rPr>
                <w:b/>
                <w:bCs/>
                <w:i/>
                <w:iCs/>
                <w:sz w:val="22"/>
                <w:szCs w:val="22"/>
              </w:rPr>
            </w:pPr>
            <w:r w:rsidRPr="00A54364">
              <w:rPr>
                <w:bCs/>
                <w:i/>
                <w:iCs/>
                <w:sz w:val="22"/>
                <w:szCs w:val="22"/>
              </w:rPr>
              <w:t>CAF</w:t>
            </w:r>
          </w:p>
        </w:tc>
        <w:tc>
          <w:tcPr>
            <w:tcW w:w="1302" w:type="pct"/>
            <w:shd w:val="clear" w:color="auto" w:fill="auto"/>
            <w:noWrap/>
            <w:vAlign w:val="center"/>
            <w:hideMark/>
          </w:tcPr>
          <w:p w:rsidR="00262251" w:rsidRPr="00A54364" w:rsidRDefault="00262251" w:rsidP="00DB1A2F">
            <w:pPr>
              <w:jc w:val="center"/>
              <w:rPr>
                <w:i/>
                <w:iCs/>
                <w:sz w:val="22"/>
                <w:szCs w:val="22"/>
              </w:rPr>
            </w:pPr>
            <w:r w:rsidRPr="00A54364">
              <w:rPr>
                <w:i/>
                <w:iCs/>
                <w:sz w:val="22"/>
                <w:szCs w:val="22"/>
              </w:rPr>
              <w:t>25.000</w:t>
            </w:r>
          </w:p>
        </w:tc>
      </w:tr>
      <w:tr w:rsidR="00262251" w:rsidRPr="00A54364" w:rsidTr="00DB1A2F">
        <w:trPr>
          <w:trHeight w:val="283"/>
        </w:trPr>
        <w:tc>
          <w:tcPr>
            <w:tcW w:w="3698" w:type="pct"/>
            <w:shd w:val="clear" w:color="auto" w:fill="auto"/>
            <w:noWrap/>
            <w:vAlign w:val="center"/>
            <w:hideMark/>
          </w:tcPr>
          <w:p w:rsidR="00262251" w:rsidRPr="00A54364" w:rsidRDefault="00262251" w:rsidP="00DB1A2F">
            <w:pPr>
              <w:rPr>
                <w:b/>
                <w:bCs/>
                <w:i/>
                <w:iCs/>
                <w:sz w:val="22"/>
                <w:szCs w:val="22"/>
              </w:rPr>
            </w:pPr>
            <w:r w:rsidRPr="00A54364">
              <w:rPr>
                <w:bCs/>
                <w:i/>
                <w:iCs/>
                <w:sz w:val="22"/>
                <w:szCs w:val="22"/>
              </w:rPr>
              <w:t>PMAT</w:t>
            </w:r>
          </w:p>
        </w:tc>
        <w:tc>
          <w:tcPr>
            <w:tcW w:w="1302" w:type="pct"/>
            <w:shd w:val="clear" w:color="auto" w:fill="auto"/>
            <w:noWrap/>
            <w:vAlign w:val="center"/>
            <w:hideMark/>
          </w:tcPr>
          <w:p w:rsidR="00262251" w:rsidRPr="00A54364" w:rsidRDefault="00262251" w:rsidP="00DB1A2F">
            <w:pPr>
              <w:jc w:val="center"/>
              <w:rPr>
                <w:i/>
                <w:iCs/>
                <w:sz w:val="22"/>
                <w:szCs w:val="22"/>
              </w:rPr>
            </w:pPr>
            <w:r w:rsidRPr="00A54364">
              <w:rPr>
                <w:i/>
                <w:iCs/>
                <w:sz w:val="22"/>
                <w:szCs w:val="22"/>
              </w:rPr>
              <w:t>1.500</w:t>
            </w:r>
          </w:p>
        </w:tc>
      </w:tr>
      <w:tr w:rsidR="00262251" w:rsidRPr="00A54364" w:rsidTr="00DB1A2F">
        <w:trPr>
          <w:trHeight w:val="283"/>
        </w:trPr>
        <w:tc>
          <w:tcPr>
            <w:tcW w:w="3698" w:type="pct"/>
            <w:shd w:val="clear" w:color="auto" w:fill="auto"/>
            <w:noWrap/>
            <w:vAlign w:val="center"/>
          </w:tcPr>
          <w:p w:rsidR="00262251" w:rsidRPr="00A54364" w:rsidRDefault="00262251" w:rsidP="00DB1A2F">
            <w:pPr>
              <w:rPr>
                <w:bCs/>
                <w:i/>
                <w:iCs/>
                <w:sz w:val="22"/>
                <w:szCs w:val="22"/>
              </w:rPr>
            </w:pPr>
            <w:r w:rsidRPr="00A54364">
              <w:rPr>
                <w:bCs/>
                <w:i/>
                <w:iCs/>
                <w:sz w:val="22"/>
                <w:szCs w:val="22"/>
              </w:rPr>
              <w:t>Linha de Inv. Esportivo</w:t>
            </w:r>
          </w:p>
        </w:tc>
        <w:tc>
          <w:tcPr>
            <w:tcW w:w="1302" w:type="pct"/>
            <w:shd w:val="clear" w:color="auto" w:fill="auto"/>
            <w:noWrap/>
            <w:vAlign w:val="center"/>
          </w:tcPr>
          <w:p w:rsidR="00262251" w:rsidRPr="00A54364" w:rsidRDefault="00262251" w:rsidP="00DB1A2F">
            <w:pPr>
              <w:jc w:val="center"/>
              <w:rPr>
                <w:i/>
                <w:iCs/>
                <w:sz w:val="22"/>
                <w:szCs w:val="22"/>
              </w:rPr>
            </w:pPr>
            <w:r w:rsidRPr="00A54364">
              <w:rPr>
                <w:i/>
                <w:iCs/>
                <w:sz w:val="22"/>
                <w:szCs w:val="22"/>
              </w:rPr>
              <w:t>500</w:t>
            </w:r>
          </w:p>
        </w:tc>
      </w:tr>
      <w:tr w:rsidR="00262251" w:rsidRPr="00A54364" w:rsidTr="00DB1A2F">
        <w:trPr>
          <w:trHeight w:val="283"/>
        </w:trPr>
        <w:tc>
          <w:tcPr>
            <w:tcW w:w="3698" w:type="pct"/>
            <w:shd w:val="clear" w:color="auto" w:fill="auto"/>
            <w:noWrap/>
            <w:vAlign w:val="center"/>
          </w:tcPr>
          <w:p w:rsidR="00262251" w:rsidRPr="00A54364" w:rsidRDefault="00262251" w:rsidP="00DB1A2F">
            <w:pPr>
              <w:rPr>
                <w:bCs/>
                <w:i/>
                <w:iCs/>
                <w:sz w:val="22"/>
                <w:szCs w:val="22"/>
              </w:rPr>
            </w:pPr>
            <w:r w:rsidRPr="00A54364">
              <w:rPr>
                <w:bCs/>
                <w:i/>
                <w:iCs/>
                <w:sz w:val="22"/>
                <w:szCs w:val="22"/>
              </w:rPr>
              <w:t>Programa Pró-Transporte</w:t>
            </w:r>
          </w:p>
        </w:tc>
        <w:tc>
          <w:tcPr>
            <w:tcW w:w="1302" w:type="pct"/>
            <w:shd w:val="clear" w:color="auto" w:fill="auto"/>
            <w:noWrap/>
            <w:vAlign w:val="center"/>
          </w:tcPr>
          <w:p w:rsidR="00262251" w:rsidRPr="00A54364" w:rsidRDefault="00262251" w:rsidP="00DB1A2F">
            <w:pPr>
              <w:jc w:val="center"/>
              <w:rPr>
                <w:i/>
                <w:iCs/>
                <w:sz w:val="22"/>
                <w:szCs w:val="22"/>
              </w:rPr>
            </w:pPr>
            <w:r w:rsidRPr="00A54364">
              <w:rPr>
                <w:i/>
                <w:iCs/>
                <w:sz w:val="22"/>
                <w:szCs w:val="22"/>
              </w:rPr>
              <w:t>2.000</w:t>
            </w:r>
          </w:p>
        </w:tc>
      </w:tr>
      <w:tr w:rsidR="00262251" w:rsidRPr="00A54364" w:rsidTr="00DB1A2F">
        <w:trPr>
          <w:trHeight w:val="283"/>
        </w:trPr>
        <w:tc>
          <w:tcPr>
            <w:tcW w:w="3698" w:type="pct"/>
            <w:shd w:val="clear" w:color="auto" w:fill="auto"/>
            <w:noWrap/>
            <w:vAlign w:val="center"/>
            <w:hideMark/>
          </w:tcPr>
          <w:p w:rsidR="00262251" w:rsidRPr="00A54364" w:rsidRDefault="00262251" w:rsidP="00DB1A2F">
            <w:pPr>
              <w:rPr>
                <w:b/>
                <w:bCs/>
                <w:i/>
                <w:iCs/>
                <w:sz w:val="22"/>
                <w:szCs w:val="22"/>
              </w:rPr>
            </w:pPr>
            <w:r w:rsidRPr="00A54364">
              <w:rPr>
                <w:bCs/>
                <w:i/>
                <w:iCs/>
                <w:sz w:val="22"/>
                <w:szCs w:val="22"/>
              </w:rPr>
              <w:t>SAAE</w:t>
            </w:r>
          </w:p>
        </w:tc>
        <w:tc>
          <w:tcPr>
            <w:tcW w:w="1302" w:type="pct"/>
            <w:shd w:val="clear" w:color="auto" w:fill="auto"/>
            <w:noWrap/>
            <w:vAlign w:val="center"/>
            <w:hideMark/>
          </w:tcPr>
          <w:p w:rsidR="00262251" w:rsidRPr="00A54364" w:rsidRDefault="00262251" w:rsidP="00DB1A2F">
            <w:pPr>
              <w:jc w:val="center"/>
              <w:rPr>
                <w:i/>
                <w:iCs/>
                <w:sz w:val="22"/>
                <w:szCs w:val="22"/>
              </w:rPr>
            </w:pPr>
            <w:r w:rsidRPr="00A54364">
              <w:rPr>
                <w:i/>
                <w:iCs/>
                <w:sz w:val="22"/>
                <w:szCs w:val="22"/>
              </w:rPr>
              <w:t>21.281</w:t>
            </w:r>
          </w:p>
        </w:tc>
      </w:tr>
      <w:tr w:rsidR="00262251" w:rsidRPr="00A54364" w:rsidTr="00DB1A2F">
        <w:trPr>
          <w:trHeight w:val="283"/>
        </w:trPr>
        <w:tc>
          <w:tcPr>
            <w:tcW w:w="3698" w:type="pct"/>
            <w:shd w:val="clear" w:color="auto" w:fill="C0C0C0"/>
            <w:noWrap/>
            <w:vAlign w:val="center"/>
            <w:hideMark/>
          </w:tcPr>
          <w:p w:rsidR="00262251" w:rsidRPr="00A54364" w:rsidRDefault="00262251" w:rsidP="00DB1A2F">
            <w:pPr>
              <w:rPr>
                <w:b/>
                <w:bCs/>
                <w:sz w:val="22"/>
                <w:szCs w:val="22"/>
              </w:rPr>
            </w:pPr>
            <w:r w:rsidRPr="00A54364">
              <w:rPr>
                <w:b/>
                <w:bCs/>
                <w:sz w:val="22"/>
                <w:szCs w:val="22"/>
              </w:rPr>
              <w:t>Transferências de Capital</w:t>
            </w:r>
          </w:p>
        </w:tc>
        <w:tc>
          <w:tcPr>
            <w:tcW w:w="1302" w:type="pct"/>
            <w:shd w:val="clear" w:color="auto" w:fill="C0C0C0"/>
            <w:noWrap/>
            <w:vAlign w:val="center"/>
            <w:hideMark/>
          </w:tcPr>
          <w:p w:rsidR="00262251" w:rsidRPr="00A54364" w:rsidRDefault="00262251" w:rsidP="00DB1A2F">
            <w:pPr>
              <w:jc w:val="center"/>
              <w:rPr>
                <w:b/>
                <w:bCs/>
                <w:sz w:val="22"/>
                <w:szCs w:val="22"/>
              </w:rPr>
            </w:pPr>
            <w:r w:rsidRPr="00A54364">
              <w:rPr>
                <w:b/>
                <w:bCs/>
                <w:sz w:val="22"/>
                <w:szCs w:val="22"/>
              </w:rPr>
              <w:t>26.051</w:t>
            </w:r>
          </w:p>
        </w:tc>
      </w:tr>
      <w:tr w:rsidR="00262251" w:rsidRPr="00A54364" w:rsidTr="00DB1A2F">
        <w:trPr>
          <w:trHeight w:val="283"/>
        </w:trPr>
        <w:tc>
          <w:tcPr>
            <w:tcW w:w="3698" w:type="pct"/>
            <w:shd w:val="clear" w:color="auto" w:fill="auto"/>
            <w:noWrap/>
            <w:vAlign w:val="center"/>
            <w:hideMark/>
          </w:tcPr>
          <w:p w:rsidR="00262251" w:rsidRPr="00A54364" w:rsidRDefault="00262251" w:rsidP="00DB1A2F">
            <w:pPr>
              <w:rPr>
                <w:b/>
                <w:bCs/>
                <w:i/>
                <w:iCs/>
                <w:sz w:val="22"/>
                <w:szCs w:val="22"/>
              </w:rPr>
            </w:pPr>
            <w:r w:rsidRPr="00A54364">
              <w:rPr>
                <w:bCs/>
                <w:i/>
                <w:iCs/>
                <w:sz w:val="22"/>
                <w:szCs w:val="22"/>
              </w:rPr>
              <w:t>PMS</w:t>
            </w:r>
          </w:p>
        </w:tc>
        <w:tc>
          <w:tcPr>
            <w:tcW w:w="1302" w:type="pct"/>
            <w:shd w:val="clear" w:color="auto" w:fill="auto"/>
            <w:noWrap/>
            <w:vAlign w:val="center"/>
            <w:hideMark/>
          </w:tcPr>
          <w:p w:rsidR="00262251" w:rsidRPr="00A54364" w:rsidRDefault="00262251" w:rsidP="00DB1A2F">
            <w:pPr>
              <w:jc w:val="center"/>
              <w:rPr>
                <w:i/>
                <w:iCs/>
                <w:sz w:val="22"/>
                <w:szCs w:val="22"/>
              </w:rPr>
            </w:pPr>
            <w:r w:rsidRPr="00A54364">
              <w:rPr>
                <w:i/>
                <w:iCs/>
                <w:sz w:val="22"/>
                <w:szCs w:val="22"/>
              </w:rPr>
              <w:t>9.497</w:t>
            </w:r>
          </w:p>
        </w:tc>
      </w:tr>
      <w:tr w:rsidR="00262251" w:rsidRPr="00A54364" w:rsidTr="00DB1A2F">
        <w:trPr>
          <w:trHeight w:val="283"/>
        </w:trPr>
        <w:tc>
          <w:tcPr>
            <w:tcW w:w="3698" w:type="pct"/>
            <w:shd w:val="clear" w:color="auto" w:fill="auto"/>
            <w:noWrap/>
            <w:vAlign w:val="center"/>
            <w:hideMark/>
          </w:tcPr>
          <w:p w:rsidR="00262251" w:rsidRPr="00A54364" w:rsidRDefault="00262251" w:rsidP="00DB1A2F">
            <w:pPr>
              <w:rPr>
                <w:b/>
                <w:bCs/>
                <w:i/>
                <w:iCs/>
                <w:sz w:val="22"/>
                <w:szCs w:val="22"/>
              </w:rPr>
            </w:pPr>
            <w:r w:rsidRPr="00A54364">
              <w:rPr>
                <w:bCs/>
                <w:i/>
                <w:iCs/>
                <w:sz w:val="22"/>
                <w:szCs w:val="22"/>
              </w:rPr>
              <w:t>SAAE</w:t>
            </w:r>
          </w:p>
        </w:tc>
        <w:tc>
          <w:tcPr>
            <w:tcW w:w="1302" w:type="pct"/>
            <w:shd w:val="clear" w:color="auto" w:fill="auto"/>
            <w:noWrap/>
            <w:vAlign w:val="center"/>
            <w:hideMark/>
          </w:tcPr>
          <w:p w:rsidR="00262251" w:rsidRPr="00A54364" w:rsidRDefault="00262251" w:rsidP="00DB1A2F">
            <w:pPr>
              <w:jc w:val="center"/>
              <w:rPr>
                <w:i/>
                <w:iCs/>
                <w:sz w:val="22"/>
                <w:szCs w:val="22"/>
              </w:rPr>
            </w:pPr>
            <w:r w:rsidRPr="00A54364">
              <w:rPr>
                <w:i/>
                <w:iCs/>
                <w:sz w:val="22"/>
                <w:szCs w:val="22"/>
              </w:rPr>
              <w:t>16.554</w:t>
            </w:r>
          </w:p>
        </w:tc>
      </w:tr>
    </w:tbl>
    <w:p w:rsidR="00262251" w:rsidRDefault="00262251" w:rsidP="00262251">
      <w:pPr>
        <w:ind w:firstLine="708"/>
        <w:jc w:val="both"/>
        <w:rPr>
          <w:sz w:val="22"/>
          <w:szCs w:val="22"/>
        </w:rPr>
      </w:pPr>
    </w:p>
    <w:p w:rsidR="00262251" w:rsidRPr="0047287C" w:rsidRDefault="00262251" w:rsidP="00262251">
      <w:pPr>
        <w:rPr>
          <w:sz w:val="24"/>
          <w:szCs w:val="24"/>
        </w:rPr>
      </w:pPr>
      <w:r w:rsidRPr="0047287C">
        <w:rPr>
          <w:sz w:val="24"/>
          <w:szCs w:val="24"/>
        </w:rPr>
        <w:t>Como resultado de uma gestão pública coerente, as finanças municipais encontram-se equilibradas, cumprindo-se com todos os pagamentos e permanente nos princípios legais, situação essa que será reproduzida em 2016. Vale ressaltar o empenho de todos os servidores no aprimoramento da efetividade na utilização dos recursos públicos e a Administração Municipal permanecerá concentrada na implantação de ações para aprimorar a cobrança da Dívida Ativa, com impactos financeiros importantes. Além disso, a partir de uma política ativa de aplicações financeiras, a estratégia adotada pela Administração Municipal tem maximizado o potencial de remuneração dos recursos próprios, ao mesmo tempo em que contempla o arcabouço legal e a exposição mínima ao risco. Assim, por meio de tais ações, será possível incrementar a Receita Orçamentária de modo a amenizar a conjuntura adversa e propiciar o investimento necessário à população.</w:t>
      </w:r>
    </w:p>
    <w:p w:rsidR="00262251" w:rsidRPr="0047287C" w:rsidRDefault="00262251" w:rsidP="00262251">
      <w:pPr>
        <w:pStyle w:val="Corpodetexto"/>
        <w:rPr>
          <w:szCs w:val="24"/>
        </w:rPr>
      </w:pPr>
      <w:r w:rsidRPr="0047287C">
        <w:rPr>
          <w:szCs w:val="24"/>
        </w:rPr>
        <w:t>Adicionalmente aos comentários anteriores e atendendo ao solicitado pelo art. 22, I, da Lei Federal nº 4.320/1964, apresento, abaixo, demonstrativos referentes às dívidas consolidada e flutuante do Município; a saldos de créditos adicionais especiais ainda não utilizados; e a restos a pagar inscritos e ainda não pagos, bem como a outros compromissos financeiros exigíveis:</w:t>
      </w:r>
    </w:p>
    <w:p w:rsidR="00262251" w:rsidRPr="0047287C" w:rsidRDefault="00262251" w:rsidP="00262251">
      <w:pPr>
        <w:pStyle w:val="Corpodetexto"/>
        <w:ind w:firstLine="1985"/>
        <w:rPr>
          <w:szCs w:val="24"/>
        </w:rPr>
      </w:pPr>
    </w:p>
    <w:p w:rsidR="00262251" w:rsidRPr="00A54364" w:rsidRDefault="00262251" w:rsidP="00262251">
      <w:pPr>
        <w:pStyle w:val="Corpodetexto"/>
        <w:ind w:firstLine="1985"/>
        <w:rPr>
          <w:sz w:val="22"/>
          <w:szCs w:val="22"/>
        </w:rPr>
      </w:pPr>
    </w:p>
    <w:p w:rsidR="00262251" w:rsidRPr="00A54364" w:rsidRDefault="00262251" w:rsidP="00262251">
      <w:pPr>
        <w:ind w:firstLine="284"/>
        <w:rPr>
          <w:sz w:val="22"/>
          <w:szCs w:val="22"/>
        </w:rPr>
      </w:pPr>
      <w:r w:rsidRPr="00A54364">
        <w:rPr>
          <w:noProof/>
          <w:sz w:val="22"/>
          <w:szCs w:val="22"/>
        </w:rPr>
        <w:lastRenderedPageBreak/>
        <w:drawing>
          <wp:inline distT="0" distB="0" distL="0" distR="0">
            <wp:extent cx="5857875" cy="87153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7875" cy="8715375"/>
                    </a:xfrm>
                    <a:prstGeom prst="rect">
                      <a:avLst/>
                    </a:prstGeom>
                    <a:noFill/>
                    <a:ln>
                      <a:noFill/>
                    </a:ln>
                  </pic:spPr>
                </pic:pic>
              </a:graphicData>
            </a:graphic>
          </wp:inline>
        </w:drawing>
      </w:r>
    </w:p>
    <w:p w:rsidR="00262251" w:rsidRDefault="00262251" w:rsidP="00262251">
      <w:pPr>
        <w:jc w:val="both"/>
        <w:rPr>
          <w:sz w:val="22"/>
          <w:szCs w:val="22"/>
        </w:rPr>
      </w:pPr>
    </w:p>
    <w:p w:rsidR="00262251" w:rsidRPr="00A54364" w:rsidRDefault="00262251" w:rsidP="00262251">
      <w:pPr>
        <w:jc w:val="both"/>
        <w:rPr>
          <w:sz w:val="22"/>
          <w:szCs w:val="22"/>
        </w:rPr>
      </w:pPr>
    </w:p>
    <w:p w:rsidR="00262251" w:rsidRPr="00A54364" w:rsidRDefault="00262251" w:rsidP="00262251">
      <w:pPr>
        <w:tabs>
          <w:tab w:val="left" w:pos="284"/>
        </w:tabs>
        <w:jc w:val="center"/>
        <w:rPr>
          <w:sz w:val="22"/>
          <w:szCs w:val="22"/>
        </w:rPr>
      </w:pPr>
      <w:r w:rsidRPr="00A54364">
        <w:rPr>
          <w:noProof/>
          <w:sz w:val="22"/>
          <w:szCs w:val="22"/>
        </w:rPr>
        <w:drawing>
          <wp:inline distT="0" distB="0" distL="0" distR="0">
            <wp:extent cx="5400675" cy="55816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5581650"/>
                    </a:xfrm>
                    <a:prstGeom prst="rect">
                      <a:avLst/>
                    </a:prstGeom>
                    <a:noFill/>
                    <a:ln>
                      <a:noFill/>
                    </a:ln>
                  </pic:spPr>
                </pic:pic>
              </a:graphicData>
            </a:graphic>
          </wp:inline>
        </w:drawing>
      </w:r>
    </w:p>
    <w:p w:rsidR="00262251" w:rsidRDefault="00262251" w:rsidP="00262251">
      <w:pPr>
        <w:jc w:val="both"/>
        <w:rPr>
          <w:sz w:val="22"/>
          <w:szCs w:val="22"/>
        </w:rPr>
      </w:pPr>
    </w:p>
    <w:p w:rsidR="00262251" w:rsidRPr="00A54364" w:rsidRDefault="00262251" w:rsidP="00262251">
      <w:pPr>
        <w:pStyle w:val="Corpodetexto"/>
        <w:jc w:val="center"/>
        <w:rPr>
          <w:sz w:val="22"/>
          <w:szCs w:val="22"/>
        </w:rPr>
      </w:pPr>
      <w:r w:rsidRPr="00A54364">
        <w:rPr>
          <w:noProof/>
          <w:sz w:val="22"/>
          <w:szCs w:val="22"/>
        </w:rPr>
        <w:drawing>
          <wp:inline distT="0" distB="0" distL="0" distR="0">
            <wp:extent cx="5400675" cy="24860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486025"/>
                    </a:xfrm>
                    <a:prstGeom prst="rect">
                      <a:avLst/>
                    </a:prstGeom>
                    <a:noFill/>
                    <a:ln>
                      <a:noFill/>
                    </a:ln>
                  </pic:spPr>
                </pic:pic>
              </a:graphicData>
            </a:graphic>
          </wp:inline>
        </w:drawing>
      </w:r>
    </w:p>
    <w:p w:rsidR="00262251" w:rsidRDefault="00262251" w:rsidP="00262251">
      <w:pPr>
        <w:pStyle w:val="Corpodetexto"/>
        <w:ind w:firstLine="1985"/>
        <w:jc w:val="both"/>
        <w:rPr>
          <w:sz w:val="22"/>
          <w:szCs w:val="22"/>
        </w:rPr>
      </w:pPr>
    </w:p>
    <w:p w:rsidR="00262251" w:rsidRPr="0047287C" w:rsidRDefault="00262251" w:rsidP="00262251">
      <w:pPr>
        <w:pStyle w:val="Corpodetexto"/>
        <w:rPr>
          <w:szCs w:val="24"/>
        </w:rPr>
      </w:pPr>
      <w:r>
        <w:rPr>
          <w:szCs w:val="24"/>
        </w:rPr>
        <w:br w:type="page"/>
      </w:r>
      <w:r w:rsidRPr="0047287C">
        <w:rPr>
          <w:szCs w:val="24"/>
        </w:rPr>
        <w:lastRenderedPageBreak/>
        <w:t>As receitas estimadas para 2016, incluídas na proposta ora apresentada, podem ser sintetizadas na forma do quadro abaixo:</w:t>
      </w:r>
    </w:p>
    <w:p w:rsidR="00262251" w:rsidRDefault="00262251" w:rsidP="00262251">
      <w:pPr>
        <w:pStyle w:val="Corpodetexto"/>
        <w:ind w:firstLine="1985"/>
        <w:jc w:val="both"/>
        <w:rPr>
          <w:sz w:val="22"/>
          <w:szCs w:val="22"/>
        </w:rPr>
      </w:pPr>
    </w:p>
    <w:p w:rsidR="00262251" w:rsidRPr="00A54364" w:rsidRDefault="00262251" w:rsidP="00262251">
      <w:pPr>
        <w:jc w:val="center"/>
        <w:rPr>
          <w:sz w:val="22"/>
          <w:szCs w:val="22"/>
        </w:rPr>
      </w:pPr>
      <w:r w:rsidRPr="00A54364">
        <w:rPr>
          <w:noProof/>
          <w:sz w:val="22"/>
          <w:szCs w:val="22"/>
        </w:rPr>
        <w:drawing>
          <wp:inline distT="0" distB="0" distL="0" distR="0">
            <wp:extent cx="5400675" cy="55530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5553075"/>
                    </a:xfrm>
                    <a:prstGeom prst="rect">
                      <a:avLst/>
                    </a:prstGeom>
                    <a:noFill/>
                    <a:ln>
                      <a:noFill/>
                    </a:ln>
                  </pic:spPr>
                </pic:pic>
              </a:graphicData>
            </a:graphic>
          </wp:inline>
        </w:drawing>
      </w:r>
    </w:p>
    <w:p w:rsidR="00262251" w:rsidRDefault="00262251" w:rsidP="00262251">
      <w:pPr>
        <w:ind w:firstLine="1985"/>
        <w:jc w:val="both"/>
        <w:rPr>
          <w:sz w:val="22"/>
          <w:szCs w:val="22"/>
        </w:rPr>
      </w:pPr>
    </w:p>
    <w:p w:rsidR="00262251" w:rsidRPr="0047287C" w:rsidRDefault="00262251" w:rsidP="00262251">
      <w:pPr>
        <w:rPr>
          <w:sz w:val="24"/>
          <w:szCs w:val="24"/>
        </w:rPr>
      </w:pPr>
      <w:r w:rsidRPr="0047287C">
        <w:rPr>
          <w:sz w:val="24"/>
          <w:szCs w:val="24"/>
        </w:rPr>
        <w:t>Na realização das estimativas da receita foram observadas as normas constantes do art. 12 da Lei de Responsabilidade Fiscal, conforme anexo específico integrante do Projeto de Lei, tudo com base na metodologia de cálculo e premissas utilizadas.</w:t>
      </w:r>
    </w:p>
    <w:p w:rsidR="00262251" w:rsidRPr="0047287C" w:rsidRDefault="00262251" w:rsidP="00262251">
      <w:pPr>
        <w:rPr>
          <w:sz w:val="24"/>
          <w:szCs w:val="24"/>
        </w:rPr>
      </w:pPr>
      <w:r w:rsidRPr="0047287C">
        <w:rPr>
          <w:sz w:val="24"/>
          <w:szCs w:val="24"/>
        </w:rPr>
        <w:t xml:space="preserve">Na proposta que estamos apresentando, o mandamento constitucional que determina a aplicação de, pelo menos, 25% das receitas resultantes de impostos na </w:t>
      </w:r>
      <w:r w:rsidRPr="0047287C">
        <w:rPr>
          <w:i/>
          <w:iCs/>
          <w:sz w:val="24"/>
          <w:szCs w:val="24"/>
        </w:rPr>
        <w:t>manutenção e no desenvolvimento do ensino</w:t>
      </w:r>
      <w:r w:rsidRPr="0047287C">
        <w:rPr>
          <w:sz w:val="24"/>
          <w:szCs w:val="24"/>
        </w:rPr>
        <w:t xml:space="preserve"> está sendo observado, conforme demonstrativos abaixo, que mostram, também, as demais vinculações legais existentes em favor do ensino:</w:t>
      </w:r>
    </w:p>
    <w:p w:rsidR="00262251" w:rsidRPr="00A54364" w:rsidRDefault="00262251" w:rsidP="00262251">
      <w:pPr>
        <w:jc w:val="both"/>
        <w:rPr>
          <w:sz w:val="22"/>
          <w:szCs w:val="22"/>
        </w:rPr>
      </w:pPr>
    </w:p>
    <w:p w:rsidR="00262251" w:rsidRPr="00A54364" w:rsidRDefault="00262251" w:rsidP="00262251">
      <w:pPr>
        <w:jc w:val="center"/>
        <w:rPr>
          <w:sz w:val="22"/>
          <w:szCs w:val="22"/>
        </w:rPr>
      </w:pPr>
      <w:r w:rsidRPr="00A54364">
        <w:rPr>
          <w:noProof/>
          <w:sz w:val="22"/>
          <w:szCs w:val="22"/>
        </w:rPr>
        <w:lastRenderedPageBreak/>
        <w:drawing>
          <wp:inline distT="0" distB="0" distL="0" distR="0">
            <wp:extent cx="5400675" cy="39338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3933825"/>
                    </a:xfrm>
                    <a:prstGeom prst="rect">
                      <a:avLst/>
                    </a:prstGeom>
                    <a:noFill/>
                    <a:ln>
                      <a:noFill/>
                    </a:ln>
                  </pic:spPr>
                </pic:pic>
              </a:graphicData>
            </a:graphic>
          </wp:inline>
        </w:drawing>
      </w:r>
    </w:p>
    <w:p w:rsidR="00262251" w:rsidRPr="00A54364" w:rsidRDefault="00262251" w:rsidP="00262251">
      <w:pPr>
        <w:jc w:val="both"/>
        <w:rPr>
          <w:sz w:val="22"/>
          <w:szCs w:val="22"/>
        </w:rPr>
      </w:pPr>
    </w:p>
    <w:p w:rsidR="00262251" w:rsidRPr="00A54364" w:rsidRDefault="00262251" w:rsidP="00262251">
      <w:pPr>
        <w:jc w:val="center"/>
        <w:rPr>
          <w:sz w:val="22"/>
          <w:szCs w:val="22"/>
        </w:rPr>
      </w:pPr>
      <w:r w:rsidRPr="00A54364">
        <w:rPr>
          <w:noProof/>
          <w:sz w:val="22"/>
          <w:szCs w:val="22"/>
        </w:rPr>
        <w:drawing>
          <wp:inline distT="0" distB="0" distL="0" distR="0">
            <wp:extent cx="5400675" cy="3533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533775"/>
                    </a:xfrm>
                    <a:prstGeom prst="rect">
                      <a:avLst/>
                    </a:prstGeom>
                    <a:noFill/>
                    <a:ln>
                      <a:noFill/>
                    </a:ln>
                  </pic:spPr>
                </pic:pic>
              </a:graphicData>
            </a:graphic>
          </wp:inline>
        </w:drawing>
      </w:r>
    </w:p>
    <w:p w:rsidR="00262251" w:rsidRPr="0047287C" w:rsidRDefault="00262251" w:rsidP="00262251">
      <w:pPr>
        <w:rPr>
          <w:sz w:val="24"/>
          <w:szCs w:val="24"/>
        </w:rPr>
      </w:pPr>
      <w:r w:rsidRPr="0047287C">
        <w:rPr>
          <w:sz w:val="24"/>
          <w:szCs w:val="24"/>
        </w:rPr>
        <w:t>Ao preparar sua proposta, o Executivo obedeceu ao dispositivo constitucional constante da EC nº 53/2006, vinculando os recursos do FUNDEB na manutenção e no desenvolvimento do ensino fundamental e na educação infantil, assim como as demais vinculações legais existentes.</w:t>
      </w:r>
    </w:p>
    <w:p w:rsidR="00262251" w:rsidRPr="0047287C" w:rsidRDefault="00262251" w:rsidP="00262251">
      <w:pPr>
        <w:rPr>
          <w:sz w:val="24"/>
          <w:szCs w:val="24"/>
        </w:rPr>
      </w:pPr>
    </w:p>
    <w:p w:rsidR="00262251" w:rsidRDefault="00262251" w:rsidP="00262251">
      <w:pPr>
        <w:rPr>
          <w:sz w:val="24"/>
          <w:szCs w:val="24"/>
        </w:rPr>
      </w:pPr>
      <w:r w:rsidRPr="0047287C">
        <w:rPr>
          <w:sz w:val="24"/>
          <w:szCs w:val="24"/>
        </w:rPr>
        <w:lastRenderedPageBreak/>
        <w:t xml:space="preserve">No que respeita às </w:t>
      </w:r>
      <w:r w:rsidRPr="0047287C">
        <w:rPr>
          <w:i/>
          <w:iCs/>
          <w:sz w:val="24"/>
          <w:szCs w:val="24"/>
        </w:rPr>
        <w:t>ações e serviços públicos de saúde</w:t>
      </w:r>
      <w:r w:rsidRPr="0047287C">
        <w:rPr>
          <w:sz w:val="24"/>
          <w:szCs w:val="24"/>
        </w:rPr>
        <w:t xml:space="preserve">, o Município tem por obrigação destinar, em 2016, pelo menos 15% das receitas de impostos, conforme estabelecido pela Lei Complementar nº 141/2012, regulamentada pelo Decreto nº 7.827/2012. </w:t>
      </w:r>
    </w:p>
    <w:p w:rsidR="00262251" w:rsidRPr="0047287C" w:rsidRDefault="00262251" w:rsidP="00262251">
      <w:pPr>
        <w:rPr>
          <w:sz w:val="24"/>
          <w:szCs w:val="24"/>
        </w:rPr>
      </w:pPr>
      <w:r w:rsidRPr="0047287C">
        <w:rPr>
          <w:sz w:val="24"/>
          <w:szCs w:val="24"/>
        </w:rPr>
        <w:t>Os demonstrativos abaixo comprovam o atendimento a esse mandamento legal:</w:t>
      </w:r>
    </w:p>
    <w:p w:rsidR="00262251" w:rsidRPr="00A54364" w:rsidRDefault="00262251" w:rsidP="00262251">
      <w:pPr>
        <w:ind w:firstLine="1985"/>
        <w:jc w:val="both"/>
        <w:rPr>
          <w:sz w:val="22"/>
          <w:szCs w:val="22"/>
        </w:rPr>
      </w:pPr>
    </w:p>
    <w:p w:rsidR="00262251" w:rsidRPr="00A54364" w:rsidRDefault="00262251" w:rsidP="00262251">
      <w:pPr>
        <w:jc w:val="center"/>
        <w:rPr>
          <w:sz w:val="22"/>
          <w:szCs w:val="22"/>
        </w:rPr>
      </w:pPr>
      <w:r w:rsidRPr="00A54364">
        <w:rPr>
          <w:noProof/>
          <w:sz w:val="22"/>
          <w:szCs w:val="22"/>
        </w:rPr>
        <w:drawing>
          <wp:inline distT="0" distB="0" distL="0" distR="0">
            <wp:extent cx="5391150" cy="30956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095625"/>
                    </a:xfrm>
                    <a:prstGeom prst="rect">
                      <a:avLst/>
                    </a:prstGeom>
                    <a:noFill/>
                    <a:ln>
                      <a:noFill/>
                    </a:ln>
                  </pic:spPr>
                </pic:pic>
              </a:graphicData>
            </a:graphic>
          </wp:inline>
        </w:drawing>
      </w:r>
    </w:p>
    <w:p w:rsidR="00262251" w:rsidRPr="00A54364" w:rsidRDefault="00262251" w:rsidP="00262251">
      <w:pPr>
        <w:ind w:firstLine="567"/>
        <w:jc w:val="both"/>
        <w:rPr>
          <w:sz w:val="22"/>
          <w:szCs w:val="22"/>
        </w:rPr>
      </w:pPr>
      <w:r w:rsidRPr="00A54364">
        <w:rPr>
          <w:sz w:val="22"/>
          <w:szCs w:val="22"/>
        </w:rPr>
        <w:t xml:space="preserve"> (*) Exclusive parcela de que trata o artigo 159, I, “d” da Constituição Federal.</w:t>
      </w:r>
    </w:p>
    <w:p w:rsidR="00262251" w:rsidRDefault="00262251" w:rsidP="00262251">
      <w:pPr>
        <w:jc w:val="both"/>
        <w:rPr>
          <w:sz w:val="22"/>
          <w:szCs w:val="22"/>
        </w:rPr>
      </w:pPr>
    </w:p>
    <w:p w:rsidR="00262251" w:rsidRPr="00A54364" w:rsidRDefault="00262251" w:rsidP="00262251">
      <w:pPr>
        <w:jc w:val="both"/>
        <w:rPr>
          <w:sz w:val="22"/>
          <w:szCs w:val="22"/>
        </w:rPr>
      </w:pPr>
    </w:p>
    <w:p w:rsidR="00262251" w:rsidRPr="00A54364" w:rsidRDefault="00262251" w:rsidP="00262251">
      <w:pPr>
        <w:pStyle w:val="Corpodetexto"/>
        <w:jc w:val="center"/>
        <w:rPr>
          <w:sz w:val="22"/>
          <w:szCs w:val="22"/>
        </w:rPr>
      </w:pPr>
      <w:r w:rsidRPr="00A54364">
        <w:rPr>
          <w:noProof/>
          <w:sz w:val="22"/>
          <w:szCs w:val="22"/>
        </w:rPr>
        <w:drawing>
          <wp:inline distT="0" distB="0" distL="0" distR="0">
            <wp:extent cx="5391150" cy="2038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038350"/>
                    </a:xfrm>
                    <a:prstGeom prst="rect">
                      <a:avLst/>
                    </a:prstGeom>
                    <a:noFill/>
                    <a:ln>
                      <a:noFill/>
                    </a:ln>
                  </pic:spPr>
                </pic:pic>
              </a:graphicData>
            </a:graphic>
          </wp:inline>
        </w:drawing>
      </w:r>
    </w:p>
    <w:p w:rsidR="00262251" w:rsidRDefault="00262251" w:rsidP="00262251">
      <w:pPr>
        <w:pStyle w:val="Corpodetexto"/>
        <w:rPr>
          <w:sz w:val="22"/>
          <w:szCs w:val="22"/>
        </w:rPr>
      </w:pPr>
      <w:r w:rsidRPr="00A54364">
        <w:rPr>
          <w:sz w:val="22"/>
          <w:szCs w:val="22"/>
        </w:rPr>
        <w:tab/>
      </w:r>
    </w:p>
    <w:p w:rsidR="00262251" w:rsidRPr="0047287C" w:rsidRDefault="00262251" w:rsidP="00262251">
      <w:pPr>
        <w:pStyle w:val="Corpodetexto"/>
        <w:rPr>
          <w:szCs w:val="24"/>
        </w:rPr>
      </w:pPr>
      <w:r w:rsidRPr="0047287C">
        <w:rPr>
          <w:szCs w:val="24"/>
        </w:rPr>
        <w:t>O Orçamento Municipal compreende a administração direta e a indireta, neste incluso o orçamento de investimento das empresas nas quais o Município detém a maioria das ações com direito a voto. O orçamento da Seguridade Social é representado por todas as ações das áreas de saúde, previdência e assistência social constantes dos orçamentos da administração direta, das autarquias e das fundações.</w:t>
      </w:r>
    </w:p>
    <w:p w:rsidR="00262251" w:rsidRPr="0047287C" w:rsidRDefault="00262251" w:rsidP="00262251">
      <w:pPr>
        <w:pStyle w:val="Corpodetexto"/>
        <w:rPr>
          <w:szCs w:val="24"/>
        </w:rPr>
      </w:pPr>
      <w:r w:rsidRPr="0047287C">
        <w:rPr>
          <w:szCs w:val="24"/>
        </w:rPr>
        <w:t>Os recursos orçamentários do Município serão aplicados segundo os quadros abaixo, que mostram a sua distribuição por órgão e por função de governo:</w:t>
      </w:r>
    </w:p>
    <w:p w:rsidR="00262251" w:rsidRPr="0047287C" w:rsidRDefault="00262251" w:rsidP="00262251">
      <w:pPr>
        <w:pStyle w:val="Corpodetexto"/>
        <w:ind w:firstLine="1985"/>
        <w:rPr>
          <w:szCs w:val="24"/>
        </w:rPr>
      </w:pPr>
    </w:p>
    <w:p w:rsidR="00262251" w:rsidRPr="00A54364" w:rsidRDefault="00262251" w:rsidP="00262251">
      <w:pPr>
        <w:pStyle w:val="Corpodetexto"/>
        <w:ind w:firstLine="1985"/>
        <w:rPr>
          <w:sz w:val="22"/>
          <w:szCs w:val="22"/>
        </w:rPr>
      </w:pPr>
    </w:p>
    <w:p w:rsidR="00262251" w:rsidRPr="00A54364" w:rsidRDefault="00262251" w:rsidP="00262251">
      <w:pPr>
        <w:jc w:val="center"/>
        <w:rPr>
          <w:sz w:val="22"/>
          <w:szCs w:val="22"/>
        </w:rPr>
      </w:pPr>
      <w:r w:rsidRPr="00A54364">
        <w:rPr>
          <w:noProof/>
          <w:sz w:val="22"/>
          <w:szCs w:val="22"/>
        </w:rPr>
        <w:lastRenderedPageBreak/>
        <w:drawing>
          <wp:inline distT="0" distB="0" distL="0" distR="0">
            <wp:extent cx="5048250" cy="5924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5924550"/>
                    </a:xfrm>
                    <a:prstGeom prst="rect">
                      <a:avLst/>
                    </a:prstGeom>
                    <a:noFill/>
                    <a:ln>
                      <a:noFill/>
                    </a:ln>
                  </pic:spPr>
                </pic:pic>
              </a:graphicData>
            </a:graphic>
          </wp:inline>
        </w:drawing>
      </w:r>
    </w:p>
    <w:p w:rsidR="00262251" w:rsidRDefault="00262251" w:rsidP="00262251">
      <w:pPr>
        <w:jc w:val="both"/>
        <w:rPr>
          <w:sz w:val="22"/>
          <w:szCs w:val="22"/>
        </w:rPr>
      </w:pPr>
    </w:p>
    <w:p w:rsidR="00262251" w:rsidRDefault="00262251" w:rsidP="00262251">
      <w:pPr>
        <w:jc w:val="both"/>
        <w:rPr>
          <w:sz w:val="22"/>
          <w:szCs w:val="22"/>
        </w:rPr>
      </w:pPr>
    </w:p>
    <w:p w:rsidR="00262251" w:rsidRPr="0047287C" w:rsidRDefault="00262251" w:rsidP="00262251">
      <w:pPr>
        <w:rPr>
          <w:sz w:val="24"/>
          <w:szCs w:val="24"/>
        </w:rPr>
      </w:pPr>
      <w:r w:rsidRPr="0047287C">
        <w:rPr>
          <w:sz w:val="24"/>
          <w:szCs w:val="24"/>
        </w:rPr>
        <w:t>Na definição das despesas a serem incluídas no orçamento, apresentadas de forma agregada nas duas tabelas anteriores, o primeiro critério adotado por meu governo foi o de cumprir as exigências contidas na legislação pertinente, em especial a Lei de Responsabilidade Fiscal, como a limitação dos gastos com pessoal do Executivo e do Legislativo, obedecido, neste caso, também, os limites fixados pelo artigo 29-A da Constituição Federal; destinação de recursos para o pagamento do serviço da dívida de modo a obedecer aos limites legais constantes de Resolução do Senado Federal; cumprimento de sentenças judiciais e pagamento de outras despesas de caráter obrigatório. O segundo critério foi o de destinar recursos para manutenção de todos os serviços atualmente prestados à comunidade e realização de investimentos que possibilitem a ampliação e melhoria dos mesmos. Quanto aos projetos, a prioridade foi a de garantir recursos para o prosseguimento daqueles já iniciados e para a manutenção do patrimônio público municipal para, depois, destinar recursos para novos projetos.</w:t>
      </w:r>
    </w:p>
    <w:p w:rsidR="00262251" w:rsidRPr="0047287C" w:rsidRDefault="00262251" w:rsidP="00262251">
      <w:pPr>
        <w:rPr>
          <w:sz w:val="24"/>
          <w:szCs w:val="24"/>
        </w:rPr>
      </w:pPr>
    </w:p>
    <w:p w:rsidR="00262251" w:rsidRPr="0047287C" w:rsidRDefault="00262251" w:rsidP="00262251">
      <w:pPr>
        <w:rPr>
          <w:sz w:val="24"/>
          <w:szCs w:val="24"/>
        </w:rPr>
      </w:pPr>
      <w:r w:rsidRPr="0047287C">
        <w:rPr>
          <w:sz w:val="24"/>
          <w:szCs w:val="24"/>
        </w:rPr>
        <w:lastRenderedPageBreak/>
        <w:t>Com relação aos fundos especiais, para os efeitos do art. 2º, § 2º, inciso I, da Lei nº 4.320/64, a discriminação de suas receitas faz parte do quadro geral de receitas integrante do presente Projeto. Os planos de aplicação estão definidos segundo unidades orçamentárias criadas para cada fundo existente no Município.</w:t>
      </w:r>
    </w:p>
    <w:p w:rsidR="00262251" w:rsidRPr="0047287C" w:rsidRDefault="00262251" w:rsidP="00262251">
      <w:pPr>
        <w:rPr>
          <w:sz w:val="24"/>
          <w:szCs w:val="24"/>
        </w:rPr>
      </w:pPr>
      <w:r w:rsidRPr="0047287C">
        <w:rPr>
          <w:sz w:val="24"/>
          <w:szCs w:val="24"/>
        </w:rPr>
        <w:t>A propositura prevê os instrumentos de ajuste do orçamento, por meio do mecanismo correspondente, ou seja, a abertura de créditos adicionais suplementares, cujo pedido de autorização foi incluído neste Projeto.</w:t>
      </w:r>
    </w:p>
    <w:p w:rsidR="00262251" w:rsidRPr="0047287C" w:rsidRDefault="00262251" w:rsidP="00262251">
      <w:pPr>
        <w:rPr>
          <w:i/>
          <w:sz w:val="24"/>
          <w:szCs w:val="24"/>
        </w:rPr>
      </w:pPr>
      <w:r w:rsidRPr="0047287C">
        <w:rPr>
          <w:i/>
          <w:sz w:val="24"/>
          <w:szCs w:val="24"/>
        </w:rPr>
        <w:t>O projeto contempla reserva de contingência nos montantes definidos na Lei de Diretrizes Orçamentárias para atender passivos contingentes e outros riscos e eventos fiscais imprevistos, nos termos em que dispõe art. 5º, inciso III, da Lei de Responsabilidade Fiscal.</w:t>
      </w:r>
    </w:p>
    <w:p w:rsidR="00262251" w:rsidRPr="0047287C" w:rsidRDefault="00262251" w:rsidP="00262251">
      <w:pPr>
        <w:rPr>
          <w:sz w:val="24"/>
          <w:szCs w:val="24"/>
        </w:rPr>
      </w:pPr>
      <w:r w:rsidRPr="0047287C">
        <w:rPr>
          <w:sz w:val="24"/>
          <w:szCs w:val="24"/>
        </w:rPr>
        <w:t>Em complemento ao já exposto e atendendo ao disposto no art. 5º da Lei de Responsabilidade Fiscal, são apresentados mais cinco anexos a esta Mensagem, a saber:</w:t>
      </w:r>
    </w:p>
    <w:p w:rsidR="00262251" w:rsidRPr="0047287C" w:rsidRDefault="00262251" w:rsidP="00262251">
      <w:pPr>
        <w:suppressAutoHyphens/>
        <w:rPr>
          <w:sz w:val="24"/>
          <w:szCs w:val="24"/>
        </w:rPr>
      </w:pPr>
      <w:r w:rsidRPr="0047287C">
        <w:rPr>
          <w:sz w:val="24"/>
          <w:szCs w:val="24"/>
        </w:rPr>
        <w:t>Anexo I – Demonstrativo das Transferências Financeiras;</w:t>
      </w:r>
    </w:p>
    <w:p w:rsidR="00262251" w:rsidRPr="0047287C" w:rsidRDefault="00262251" w:rsidP="00262251">
      <w:pPr>
        <w:suppressAutoHyphens/>
        <w:rPr>
          <w:sz w:val="24"/>
          <w:szCs w:val="24"/>
        </w:rPr>
      </w:pPr>
      <w:r w:rsidRPr="0047287C">
        <w:rPr>
          <w:sz w:val="24"/>
          <w:szCs w:val="24"/>
        </w:rPr>
        <w:t>Anexo II – Demonstrativo do Efeito sobre Receitas e Despesas Decorrente de Concessão de Benefícios Tributários, Creditícios e Financeiros;</w:t>
      </w:r>
    </w:p>
    <w:p w:rsidR="00262251" w:rsidRPr="0047287C" w:rsidRDefault="00262251" w:rsidP="00262251">
      <w:pPr>
        <w:suppressAutoHyphens/>
        <w:rPr>
          <w:sz w:val="24"/>
          <w:szCs w:val="24"/>
        </w:rPr>
      </w:pPr>
      <w:r w:rsidRPr="0047287C">
        <w:rPr>
          <w:sz w:val="24"/>
          <w:szCs w:val="24"/>
        </w:rPr>
        <w:t>Anexo III – Demonstrativo das Medidas de Compensação a Renúncias de Receitas;</w:t>
      </w:r>
    </w:p>
    <w:p w:rsidR="00262251" w:rsidRPr="0047287C" w:rsidRDefault="00262251" w:rsidP="00262251">
      <w:pPr>
        <w:suppressAutoHyphens/>
        <w:rPr>
          <w:sz w:val="24"/>
          <w:szCs w:val="24"/>
        </w:rPr>
      </w:pPr>
      <w:r w:rsidRPr="0047287C">
        <w:rPr>
          <w:sz w:val="24"/>
          <w:szCs w:val="24"/>
        </w:rPr>
        <w:t>Anexo IV – Demonstrativo das Medidas de Compensação ao Aumento de Despesas Obrigatórias de Caráter Continuado; e</w:t>
      </w:r>
    </w:p>
    <w:p w:rsidR="00262251" w:rsidRPr="0047287C" w:rsidRDefault="00262251" w:rsidP="00262251">
      <w:pPr>
        <w:suppressAutoHyphens/>
        <w:rPr>
          <w:sz w:val="24"/>
          <w:szCs w:val="24"/>
        </w:rPr>
      </w:pPr>
      <w:r w:rsidRPr="0047287C">
        <w:rPr>
          <w:sz w:val="24"/>
          <w:szCs w:val="24"/>
        </w:rPr>
        <w:t>Anexo V – Demonstrativo do Cálculo da Receita Corrente Líquida e das Correspondentes Despesas com Pessoal de Competência do Poder Executivo.</w:t>
      </w:r>
    </w:p>
    <w:p w:rsidR="00262251" w:rsidRPr="0047287C" w:rsidRDefault="00262251" w:rsidP="00262251">
      <w:pPr>
        <w:rPr>
          <w:sz w:val="24"/>
          <w:szCs w:val="24"/>
        </w:rPr>
      </w:pPr>
      <w:r w:rsidRPr="0047287C">
        <w:rPr>
          <w:sz w:val="24"/>
          <w:szCs w:val="24"/>
        </w:rPr>
        <w:t>Com esta exposição espero ter oferecido aos Senhores Vereadores todas as informações de que necessitam para bem compreender o conteúdo da proposta ora submetida à apreciação dessa Egrégia Câmara Municipal.</w:t>
      </w:r>
    </w:p>
    <w:p w:rsidR="00262251" w:rsidRPr="0047287C" w:rsidRDefault="00262251" w:rsidP="00262251">
      <w:pPr>
        <w:rPr>
          <w:sz w:val="24"/>
          <w:szCs w:val="24"/>
        </w:rPr>
      </w:pPr>
      <w:r w:rsidRPr="0047287C">
        <w:rPr>
          <w:sz w:val="24"/>
          <w:szCs w:val="24"/>
        </w:rPr>
        <w:t>Por outro lado, permaneço à disposição de todos para quaisquer esclarecimentos adicionais que se fizerem necessários e reafirmo a certeza de que os Senhores Edis saberão dar ao projeto a atenção a que faz jus, por ser o mais importante instrumento de implementação das ações que o Município realiza para bem servir sua população.</w:t>
      </w:r>
    </w:p>
    <w:p w:rsidR="00262251" w:rsidRPr="0047287C" w:rsidRDefault="00262251" w:rsidP="00262251">
      <w:pPr>
        <w:rPr>
          <w:sz w:val="24"/>
          <w:szCs w:val="24"/>
        </w:rPr>
      </w:pPr>
      <w:r w:rsidRPr="0047287C">
        <w:rPr>
          <w:sz w:val="24"/>
          <w:szCs w:val="24"/>
        </w:rPr>
        <w:t>Na oportunidade, renovo a Vossa Excelência e aos ilustres Senhores Vereadores os meus protestos da mais alta consideração.</w:t>
      </w:r>
    </w:p>
    <w:p w:rsidR="00CC75F0" w:rsidRPr="00CC75F0" w:rsidRDefault="00CC75F0" w:rsidP="00CC75F0">
      <w:bookmarkStart w:id="0" w:name="_GoBack"/>
      <w:bookmarkEnd w:id="0"/>
    </w:p>
    <w:sectPr w:rsidR="00CC75F0" w:rsidRPr="00CC75F0" w:rsidSect="00B81166">
      <w:headerReference w:type="default" r:id="rId14"/>
      <w:pgSz w:w="11907" w:h="16840" w:code="9"/>
      <w:pgMar w:top="2127" w:right="1701" w:bottom="993"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FA" w:rsidRDefault="00262251">
    <w:pPr>
      <w:pStyle w:val="Cabealho"/>
      <w:tabs>
        <w:tab w:val="clear" w:pos="4419"/>
        <w:tab w:val="center" w:pos="2127"/>
      </w:tabs>
      <w:ind w:left="2832"/>
      <w:jc w:val="both"/>
      <w:rPr>
        <w:b/>
        <w:noProof/>
        <w:sz w:val="48"/>
      </w:rPr>
    </w:pPr>
    <w:r>
      <w:rPr>
        <w:b/>
        <w:noProof/>
        <w:sz w:val="48"/>
      </w:rPr>
      <w:t xml:space="preserve"> </w:t>
    </w:r>
    <w:r>
      <w:rPr>
        <w:b/>
        <w:noProof/>
        <w:sz w:val="48"/>
      </w:rPr>
      <w:tab/>
    </w:r>
    <w:r>
      <w:rPr>
        <w:b/>
        <w:noProof/>
        <w:sz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7160"/>
    <w:multiLevelType w:val="hybridMultilevel"/>
    <w:tmpl w:val="951A98E2"/>
    <w:lvl w:ilvl="0" w:tplc="64987032">
      <w:start w:val="1"/>
      <w:numFmt w:val="decimal"/>
      <w:lvlRestart w:val="0"/>
      <w:lvlText w:val="%1)"/>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DCA575F"/>
    <w:multiLevelType w:val="hybridMultilevel"/>
    <w:tmpl w:val="32961B34"/>
    <w:lvl w:ilvl="0" w:tplc="64987032">
      <w:start w:val="1"/>
      <w:numFmt w:val="decimal"/>
      <w:lvlRestart w:val="0"/>
      <w:lvlText w:val="%1)"/>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7242DB2"/>
    <w:multiLevelType w:val="hybridMultilevel"/>
    <w:tmpl w:val="9BDCCF0A"/>
    <w:lvl w:ilvl="0" w:tplc="64987032">
      <w:start w:val="1"/>
      <w:numFmt w:val="decimal"/>
      <w:lvlRestart w:val="0"/>
      <w:lvlText w:val="%1)"/>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5D0D06D0"/>
    <w:multiLevelType w:val="hybridMultilevel"/>
    <w:tmpl w:val="032064A8"/>
    <w:lvl w:ilvl="0" w:tplc="F0CA3D4A">
      <w:start w:val="1"/>
      <w:numFmt w:val="decimal"/>
      <w:lvlRestart w:val="0"/>
      <w:lvlText w:val="%1)"/>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6EBD1C29"/>
    <w:multiLevelType w:val="hybridMultilevel"/>
    <w:tmpl w:val="24820AD4"/>
    <w:lvl w:ilvl="0" w:tplc="64987032">
      <w:start w:val="1"/>
      <w:numFmt w:val="decimal"/>
      <w:lvlRestart w:val="0"/>
      <w:lvlText w:val="%1)"/>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76E03C37"/>
    <w:multiLevelType w:val="hybridMultilevel"/>
    <w:tmpl w:val="B47213EE"/>
    <w:lvl w:ilvl="0" w:tplc="64987032">
      <w:start w:val="1"/>
      <w:numFmt w:val="decimal"/>
      <w:lvlRestart w:val="0"/>
      <w:lvlText w:val="%1)"/>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7CBD3144"/>
    <w:multiLevelType w:val="hybridMultilevel"/>
    <w:tmpl w:val="5446958E"/>
    <w:lvl w:ilvl="0" w:tplc="64987032">
      <w:start w:val="1"/>
      <w:numFmt w:val="decimal"/>
      <w:lvlRestart w:val="0"/>
      <w:lvlText w:val="%1)"/>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7FF47FBF"/>
    <w:multiLevelType w:val="hybridMultilevel"/>
    <w:tmpl w:val="1996D3A8"/>
    <w:lvl w:ilvl="0" w:tplc="64987032">
      <w:start w:val="1"/>
      <w:numFmt w:val="decimal"/>
      <w:lvlRestart w:val="0"/>
      <w:lvlText w:val="%1)"/>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57"/>
  <w:drawingGridVerticalSpacing w:val="127"/>
  <w:displayVerticalDrawingGridEvery w:val="2"/>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51"/>
    <w:rsid w:val="00000B3C"/>
    <w:rsid w:val="00003C82"/>
    <w:rsid w:val="000043DF"/>
    <w:rsid w:val="000121C1"/>
    <w:rsid w:val="00012FD8"/>
    <w:rsid w:val="000132E1"/>
    <w:rsid w:val="000141B8"/>
    <w:rsid w:val="000155B6"/>
    <w:rsid w:val="00015832"/>
    <w:rsid w:val="00016C83"/>
    <w:rsid w:val="00017026"/>
    <w:rsid w:val="0001710D"/>
    <w:rsid w:val="0001717F"/>
    <w:rsid w:val="00017B9D"/>
    <w:rsid w:val="00021F32"/>
    <w:rsid w:val="00022754"/>
    <w:rsid w:val="00022927"/>
    <w:rsid w:val="00022AB5"/>
    <w:rsid w:val="0002574B"/>
    <w:rsid w:val="00026BEC"/>
    <w:rsid w:val="00035137"/>
    <w:rsid w:val="000374C4"/>
    <w:rsid w:val="000420E7"/>
    <w:rsid w:val="000431F3"/>
    <w:rsid w:val="00047081"/>
    <w:rsid w:val="00047432"/>
    <w:rsid w:val="000524B5"/>
    <w:rsid w:val="00052C0A"/>
    <w:rsid w:val="00054AA0"/>
    <w:rsid w:val="0005573C"/>
    <w:rsid w:val="00055C64"/>
    <w:rsid w:val="00057C49"/>
    <w:rsid w:val="000608D6"/>
    <w:rsid w:val="000648BF"/>
    <w:rsid w:val="00064E83"/>
    <w:rsid w:val="00065E54"/>
    <w:rsid w:val="0006637D"/>
    <w:rsid w:val="000665DC"/>
    <w:rsid w:val="00067A42"/>
    <w:rsid w:val="00074417"/>
    <w:rsid w:val="0007502E"/>
    <w:rsid w:val="00075605"/>
    <w:rsid w:val="000778CB"/>
    <w:rsid w:val="00077B59"/>
    <w:rsid w:val="000813C5"/>
    <w:rsid w:val="00081A46"/>
    <w:rsid w:val="00083956"/>
    <w:rsid w:val="00083D6C"/>
    <w:rsid w:val="00084004"/>
    <w:rsid w:val="000844C2"/>
    <w:rsid w:val="0008591C"/>
    <w:rsid w:val="00086096"/>
    <w:rsid w:val="0008617F"/>
    <w:rsid w:val="00091C7F"/>
    <w:rsid w:val="00091D65"/>
    <w:rsid w:val="0009278C"/>
    <w:rsid w:val="000936C0"/>
    <w:rsid w:val="00094412"/>
    <w:rsid w:val="000A063E"/>
    <w:rsid w:val="000A7459"/>
    <w:rsid w:val="000A7E7A"/>
    <w:rsid w:val="000B3383"/>
    <w:rsid w:val="000B55C2"/>
    <w:rsid w:val="000B590E"/>
    <w:rsid w:val="000C2B10"/>
    <w:rsid w:val="000C5AB7"/>
    <w:rsid w:val="000C63C7"/>
    <w:rsid w:val="000C645A"/>
    <w:rsid w:val="000C6E9C"/>
    <w:rsid w:val="000C753D"/>
    <w:rsid w:val="000C7D38"/>
    <w:rsid w:val="000D0BE7"/>
    <w:rsid w:val="000D0DC3"/>
    <w:rsid w:val="000D1C3B"/>
    <w:rsid w:val="000D2A6C"/>
    <w:rsid w:val="000D34D4"/>
    <w:rsid w:val="000D4126"/>
    <w:rsid w:val="000D561F"/>
    <w:rsid w:val="000D6136"/>
    <w:rsid w:val="000D6773"/>
    <w:rsid w:val="000D68B8"/>
    <w:rsid w:val="000D6A09"/>
    <w:rsid w:val="000E0526"/>
    <w:rsid w:val="000E1104"/>
    <w:rsid w:val="000E1149"/>
    <w:rsid w:val="000E217E"/>
    <w:rsid w:val="000E2A1E"/>
    <w:rsid w:val="000E391F"/>
    <w:rsid w:val="000E4273"/>
    <w:rsid w:val="000E61C5"/>
    <w:rsid w:val="000E79C4"/>
    <w:rsid w:val="000F02AA"/>
    <w:rsid w:val="000F1A00"/>
    <w:rsid w:val="000F346C"/>
    <w:rsid w:val="000F3770"/>
    <w:rsid w:val="000F3EC5"/>
    <w:rsid w:val="000F7CD5"/>
    <w:rsid w:val="0010021B"/>
    <w:rsid w:val="00100267"/>
    <w:rsid w:val="0010071B"/>
    <w:rsid w:val="00102B71"/>
    <w:rsid w:val="001047CB"/>
    <w:rsid w:val="001115EC"/>
    <w:rsid w:val="00111766"/>
    <w:rsid w:val="00112C13"/>
    <w:rsid w:val="001143ED"/>
    <w:rsid w:val="001158E4"/>
    <w:rsid w:val="00116A39"/>
    <w:rsid w:val="00117DFE"/>
    <w:rsid w:val="00122F76"/>
    <w:rsid w:val="00123015"/>
    <w:rsid w:val="00124358"/>
    <w:rsid w:val="001243CF"/>
    <w:rsid w:val="00125EE8"/>
    <w:rsid w:val="00125EF2"/>
    <w:rsid w:val="001265D4"/>
    <w:rsid w:val="001310B6"/>
    <w:rsid w:val="0013198D"/>
    <w:rsid w:val="0013243E"/>
    <w:rsid w:val="001361B4"/>
    <w:rsid w:val="00140DA9"/>
    <w:rsid w:val="00145004"/>
    <w:rsid w:val="0014607D"/>
    <w:rsid w:val="001466EB"/>
    <w:rsid w:val="00146EAD"/>
    <w:rsid w:val="00152B84"/>
    <w:rsid w:val="00152C19"/>
    <w:rsid w:val="00152CA5"/>
    <w:rsid w:val="00155EE4"/>
    <w:rsid w:val="0015751B"/>
    <w:rsid w:val="00160031"/>
    <w:rsid w:val="0016091E"/>
    <w:rsid w:val="001620C9"/>
    <w:rsid w:val="00165C79"/>
    <w:rsid w:val="0016652E"/>
    <w:rsid w:val="00166F82"/>
    <w:rsid w:val="0016731E"/>
    <w:rsid w:val="0016763B"/>
    <w:rsid w:val="00167BD5"/>
    <w:rsid w:val="0017225D"/>
    <w:rsid w:val="00173D27"/>
    <w:rsid w:val="00175F8C"/>
    <w:rsid w:val="00176677"/>
    <w:rsid w:val="001805FD"/>
    <w:rsid w:val="00180B56"/>
    <w:rsid w:val="0018329E"/>
    <w:rsid w:val="0018570A"/>
    <w:rsid w:val="00186992"/>
    <w:rsid w:val="00190F8F"/>
    <w:rsid w:val="00192F8F"/>
    <w:rsid w:val="00194DC1"/>
    <w:rsid w:val="00194E91"/>
    <w:rsid w:val="00195B7E"/>
    <w:rsid w:val="00196EB6"/>
    <w:rsid w:val="001A04EA"/>
    <w:rsid w:val="001A05D4"/>
    <w:rsid w:val="001A203C"/>
    <w:rsid w:val="001A3795"/>
    <w:rsid w:val="001A3C72"/>
    <w:rsid w:val="001A645C"/>
    <w:rsid w:val="001A7D03"/>
    <w:rsid w:val="001B0529"/>
    <w:rsid w:val="001B0828"/>
    <w:rsid w:val="001B2870"/>
    <w:rsid w:val="001B337B"/>
    <w:rsid w:val="001B3DF9"/>
    <w:rsid w:val="001B429F"/>
    <w:rsid w:val="001B4A24"/>
    <w:rsid w:val="001B5AF6"/>
    <w:rsid w:val="001B63D6"/>
    <w:rsid w:val="001B642D"/>
    <w:rsid w:val="001B6A08"/>
    <w:rsid w:val="001B6F32"/>
    <w:rsid w:val="001C06F0"/>
    <w:rsid w:val="001C0993"/>
    <w:rsid w:val="001C23ED"/>
    <w:rsid w:val="001C343E"/>
    <w:rsid w:val="001C39E2"/>
    <w:rsid w:val="001C40D7"/>
    <w:rsid w:val="001C4B79"/>
    <w:rsid w:val="001C7BD8"/>
    <w:rsid w:val="001D40E1"/>
    <w:rsid w:val="001D553C"/>
    <w:rsid w:val="001E3006"/>
    <w:rsid w:val="001E305C"/>
    <w:rsid w:val="001E3FE8"/>
    <w:rsid w:val="001E4933"/>
    <w:rsid w:val="001E61F7"/>
    <w:rsid w:val="001E6577"/>
    <w:rsid w:val="001F5049"/>
    <w:rsid w:val="001F769C"/>
    <w:rsid w:val="001F7C1A"/>
    <w:rsid w:val="0020061B"/>
    <w:rsid w:val="00202017"/>
    <w:rsid w:val="0020207F"/>
    <w:rsid w:val="002031E9"/>
    <w:rsid w:val="002037D1"/>
    <w:rsid w:val="00203ADC"/>
    <w:rsid w:val="00203EEA"/>
    <w:rsid w:val="00205785"/>
    <w:rsid w:val="002068C4"/>
    <w:rsid w:val="00207D7C"/>
    <w:rsid w:val="0021222B"/>
    <w:rsid w:val="00212A6F"/>
    <w:rsid w:val="002145C5"/>
    <w:rsid w:val="0021701C"/>
    <w:rsid w:val="002222E3"/>
    <w:rsid w:val="002236E9"/>
    <w:rsid w:val="002237C1"/>
    <w:rsid w:val="00224DEE"/>
    <w:rsid w:val="00226EC1"/>
    <w:rsid w:val="00227CA9"/>
    <w:rsid w:val="002310CA"/>
    <w:rsid w:val="0023116C"/>
    <w:rsid w:val="002314B9"/>
    <w:rsid w:val="002335B7"/>
    <w:rsid w:val="00233B4C"/>
    <w:rsid w:val="002351F3"/>
    <w:rsid w:val="002378CB"/>
    <w:rsid w:val="0024174D"/>
    <w:rsid w:val="00241D95"/>
    <w:rsid w:val="00242DD3"/>
    <w:rsid w:val="00243354"/>
    <w:rsid w:val="002436D2"/>
    <w:rsid w:val="00243F40"/>
    <w:rsid w:val="00245498"/>
    <w:rsid w:val="00245929"/>
    <w:rsid w:val="00246759"/>
    <w:rsid w:val="00252CBB"/>
    <w:rsid w:val="00252E78"/>
    <w:rsid w:val="00253701"/>
    <w:rsid w:val="00253B9C"/>
    <w:rsid w:val="002561E8"/>
    <w:rsid w:val="00257941"/>
    <w:rsid w:val="00257E20"/>
    <w:rsid w:val="00260D3E"/>
    <w:rsid w:val="002614BB"/>
    <w:rsid w:val="00261E43"/>
    <w:rsid w:val="00261F44"/>
    <w:rsid w:val="00262251"/>
    <w:rsid w:val="00266476"/>
    <w:rsid w:val="00271B09"/>
    <w:rsid w:val="002720A5"/>
    <w:rsid w:val="002744BD"/>
    <w:rsid w:val="00276C46"/>
    <w:rsid w:val="0028009C"/>
    <w:rsid w:val="00280878"/>
    <w:rsid w:val="00284826"/>
    <w:rsid w:val="00285606"/>
    <w:rsid w:val="0028749C"/>
    <w:rsid w:val="002902DE"/>
    <w:rsid w:val="00293C33"/>
    <w:rsid w:val="00295303"/>
    <w:rsid w:val="002954DC"/>
    <w:rsid w:val="00295F16"/>
    <w:rsid w:val="00296B66"/>
    <w:rsid w:val="0029714F"/>
    <w:rsid w:val="002A2C38"/>
    <w:rsid w:val="002B0C2E"/>
    <w:rsid w:val="002B3842"/>
    <w:rsid w:val="002B38A4"/>
    <w:rsid w:val="002B4856"/>
    <w:rsid w:val="002B4ABC"/>
    <w:rsid w:val="002B53CD"/>
    <w:rsid w:val="002B6DB7"/>
    <w:rsid w:val="002B768E"/>
    <w:rsid w:val="002C1924"/>
    <w:rsid w:val="002C1D84"/>
    <w:rsid w:val="002C2220"/>
    <w:rsid w:val="002C3231"/>
    <w:rsid w:val="002C3C55"/>
    <w:rsid w:val="002D303A"/>
    <w:rsid w:val="002D425C"/>
    <w:rsid w:val="002D58DE"/>
    <w:rsid w:val="002E3265"/>
    <w:rsid w:val="002E4CB9"/>
    <w:rsid w:val="002F090E"/>
    <w:rsid w:val="002F0EDD"/>
    <w:rsid w:val="002F1BFF"/>
    <w:rsid w:val="002F2D91"/>
    <w:rsid w:val="0030050B"/>
    <w:rsid w:val="003009FA"/>
    <w:rsid w:val="003016B8"/>
    <w:rsid w:val="0030195F"/>
    <w:rsid w:val="0030459D"/>
    <w:rsid w:val="0030663D"/>
    <w:rsid w:val="00310825"/>
    <w:rsid w:val="00311710"/>
    <w:rsid w:val="00312037"/>
    <w:rsid w:val="00314189"/>
    <w:rsid w:val="003153D5"/>
    <w:rsid w:val="00320BA2"/>
    <w:rsid w:val="0032113C"/>
    <w:rsid w:val="003213F1"/>
    <w:rsid w:val="003218BB"/>
    <w:rsid w:val="00321E5F"/>
    <w:rsid w:val="003220CF"/>
    <w:rsid w:val="00322C0C"/>
    <w:rsid w:val="00322C15"/>
    <w:rsid w:val="00322C3F"/>
    <w:rsid w:val="003240C1"/>
    <w:rsid w:val="00325191"/>
    <w:rsid w:val="003251ED"/>
    <w:rsid w:val="00330D61"/>
    <w:rsid w:val="00331188"/>
    <w:rsid w:val="003318E9"/>
    <w:rsid w:val="00331A0F"/>
    <w:rsid w:val="00331F47"/>
    <w:rsid w:val="003320FE"/>
    <w:rsid w:val="003358BC"/>
    <w:rsid w:val="00335EE3"/>
    <w:rsid w:val="00336935"/>
    <w:rsid w:val="00336E0F"/>
    <w:rsid w:val="00337F8E"/>
    <w:rsid w:val="00340555"/>
    <w:rsid w:val="00340D4B"/>
    <w:rsid w:val="00341239"/>
    <w:rsid w:val="00342A07"/>
    <w:rsid w:val="00342E5F"/>
    <w:rsid w:val="003515D3"/>
    <w:rsid w:val="00352756"/>
    <w:rsid w:val="003548B5"/>
    <w:rsid w:val="00354E2F"/>
    <w:rsid w:val="00355937"/>
    <w:rsid w:val="003619D7"/>
    <w:rsid w:val="00362FD5"/>
    <w:rsid w:val="003637D5"/>
    <w:rsid w:val="00364A23"/>
    <w:rsid w:val="00365A54"/>
    <w:rsid w:val="00370116"/>
    <w:rsid w:val="0037088D"/>
    <w:rsid w:val="00373041"/>
    <w:rsid w:val="00373223"/>
    <w:rsid w:val="00374C7A"/>
    <w:rsid w:val="00374D2C"/>
    <w:rsid w:val="003755A2"/>
    <w:rsid w:val="003762C9"/>
    <w:rsid w:val="0037652C"/>
    <w:rsid w:val="00382AD9"/>
    <w:rsid w:val="0038377A"/>
    <w:rsid w:val="00383BC3"/>
    <w:rsid w:val="0038413D"/>
    <w:rsid w:val="00385774"/>
    <w:rsid w:val="00385D8D"/>
    <w:rsid w:val="0039110E"/>
    <w:rsid w:val="00391E82"/>
    <w:rsid w:val="0039234D"/>
    <w:rsid w:val="00394195"/>
    <w:rsid w:val="0039459B"/>
    <w:rsid w:val="00394B3D"/>
    <w:rsid w:val="00395D1F"/>
    <w:rsid w:val="00395E5B"/>
    <w:rsid w:val="0039636A"/>
    <w:rsid w:val="00397FA6"/>
    <w:rsid w:val="003A095F"/>
    <w:rsid w:val="003A2ECE"/>
    <w:rsid w:val="003A4783"/>
    <w:rsid w:val="003A55D2"/>
    <w:rsid w:val="003A5D70"/>
    <w:rsid w:val="003B3484"/>
    <w:rsid w:val="003B484B"/>
    <w:rsid w:val="003B5D5D"/>
    <w:rsid w:val="003B78CA"/>
    <w:rsid w:val="003C020D"/>
    <w:rsid w:val="003C2988"/>
    <w:rsid w:val="003C60BF"/>
    <w:rsid w:val="003C6565"/>
    <w:rsid w:val="003C7167"/>
    <w:rsid w:val="003D4AD4"/>
    <w:rsid w:val="003E0F07"/>
    <w:rsid w:val="003E1377"/>
    <w:rsid w:val="003E192B"/>
    <w:rsid w:val="003E2465"/>
    <w:rsid w:val="003E3C56"/>
    <w:rsid w:val="003E436C"/>
    <w:rsid w:val="003E573C"/>
    <w:rsid w:val="003E5AFC"/>
    <w:rsid w:val="003E5DF2"/>
    <w:rsid w:val="003E7344"/>
    <w:rsid w:val="003F0716"/>
    <w:rsid w:val="003F0A3B"/>
    <w:rsid w:val="003F0DA7"/>
    <w:rsid w:val="003F40AF"/>
    <w:rsid w:val="003F4237"/>
    <w:rsid w:val="003F46C5"/>
    <w:rsid w:val="003F7433"/>
    <w:rsid w:val="00400C2C"/>
    <w:rsid w:val="004011E4"/>
    <w:rsid w:val="004020D4"/>
    <w:rsid w:val="004032A1"/>
    <w:rsid w:val="00403EDD"/>
    <w:rsid w:val="0040469F"/>
    <w:rsid w:val="00404C22"/>
    <w:rsid w:val="00405321"/>
    <w:rsid w:val="00406760"/>
    <w:rsid w:val="004070C8"/>
    <w:rsid w:val="00410345"/>
    <w:rsid w:val="00411B4A"/>
    <w:rsid w:val="004120BF"/>
    <w:rsid w:val="00412CA0"/>
    <w:rsid w:val="00413721"/>
    <w:rsid w:val="00415777"/>
    <w:rsid w:val="004165D3"/>
    <w:rsid w:val="004170A4"/>
    <w:rsid w:val="00420299"/>
    <w:rsid w:val="0042221F"/>
    <w:rsid w:val="00422BCD"/>
    <w:rsid w:val="00422DE3"/>
    <w:rsid w:val="0042395F"/>
    <w:rsid w:val="00423C8A"/>
    <w:rsid w:val="00425E66"/>
    <w:rsid w:val="004263AC"/>
    <w:rsid w:val="00426807"/>
    <w:rsid w:val="00430F68"/>
    <w:rsid w:val="00432E90"/>
    <w:rsid w:val="00435F34"/>
    <w:rsid w:val="00441215"/>
    <w:rsid w:val="00441D5E"/>
    <w:rsid w:val="0044275F"/>
    <w:rsid w:val="00443411"/>
    <w:rsid w:val="004444D8"/>
    <w:rsid w:val="00444577"/>
    <w:rsid w:val="00445E2D"/>
    <w:rsid w:val="0044695F"/>
    <w:rsid w:val="00450F0F"/>
    <w:rsid w:val="004514D5"/>
    <w:rsid w:val="0045322A"/>
    <w:rsid w:val="0045448E"/>
    <w:rsid w:val="004556E9"/>
    <w:rsid w:val="00455A6D"/>
    <w:rsid w:val="00460383"/>
    <w:rsid w:val="004605BF"/>
    <w:rsid w:val="00460692"/>
    <w:rsid w:val="004616E0"/>
    <w:rsid w:val="004637AC"/>
    <w:rsid w:val="0047340C"/>
    <w:rsid w:val="00473BDF"/>
    <w:rsid w:val="00473D4C"/>
    <w:rsid w:val="004765DB"/>
    <w:rsid w:val="00480D47"/>
    <w:rsid w:val="00482408"/>
    <w:rsid w:val="00485275"/>
    <w:rsid w:val="00486CA9"/>
    <w:rsid w:val="00490A91"/>
    <w:rsid w:val="00491D50"/>
    <w:rsid w:val="00492379"/>
    <w:rsid w:val="004950A8"/>
    <w:rsid w:val="00495E80"/>
    <w:rsid w:val="004A0CE5"/>
    <w:rsid w:val="004A274E"/>
    <w:rsid w:val="004A2B14"/>
    <w:rsid w:val="004A58D5"/>
    <w:rsid w:val="004A5A2D"/>
    <w:rsid w:val="004B0C3F"/>
    <w:rsid w:val="004B12DF"/>
    <w:rsid w:val="004B2D60"/>
    <w:rsid w:val="004B6F55"/>
    <w:rsid w:val="004B6FBB"/>
    <w:rsid w:val="004C0B28"/>
    <w:rsid w:val="004C150E"/>
    <w:rsid w:val="004C2158"/>
    <w:rsid w:val="004C2261"/>
    <w:rsid w:val="004C26ED"/>
    <w:rsid w:val="004C2AD3"/>
    <w:rsid w:val="004C2F91"/>
    <w:rsid w:val="004C5378"/>
    <w:rsid w:val="004C6E7B"/>
    <w:rsid w:val="004D017C"/>
    <w:rsid w:val="004D0F39"/>
    <w:rsid w:val="004D3633"/>
    <w:rsid w:val="004D4503"/>
    <w:rsid w:val="004D4A54"/>
    <w:rsid w:val="004D4E77"/>
    <w:rsid w:val="004D5AFD"/>
    <w:rsid w:val="004D6BEE"/>
    <w:rsid w:val="004E04AC"/>
    <w:rsid w:val="004E478D"/>
    <w:rsid w:val="004E6205"/>
    <w:rsid w:val="004E68F6"/>
    <w:rsid w:val="004E73B1"/>
    <w:rsid w:val="004F05DA"/>
    <w:rsid w:val="004F149A"/>
    <w:rsid w:val="004F391D"/>
    <w:rsid w:val="004F4629"/>
    <w:rsid w:val="004F5276"/>
    <w:rsid w:val="004F5361"/>
    <w:rsid w:val="004F571B"/>
    <w:rsid w:val="005018D6"/>
    <w:rsid w:val="00502026"/>
    <w:rsid w:val="005023D4"/>
    <w:rsid w:val="005026C8"/>
    <w:rsid w:val="0050284E"/>
    <w:rsid w:val="005031D7"/>
    <w:rsid w:val="005050AF"/>
    <w:rsid w:val="005068F1"/>
    <w:rsid w:val="005105E3"/>
    <w:rsid w:val="00511C12"/>
    <w:rsid w:val="0051572E"/>
    <w:rsid w:val="00515896"/>
    <w:rsid w:val="005160C9"/>
    <w:rsid w:val="005162E1"/>
    <w:rsid w:val="00516620"/>
    <w:rsid w:val="0051767F"/>
    <w:rsid w:val="00517933"/>
    <w:rsid w:val="005207A6"/>
    <w:rsid w:val="00520A5A"/>
    <w:rsid w:val="0052218A"/>
    <w:rsid w:val="005245DF"/>
    <w:rsid w:val="00525E79"/>
    <w:rsid w:val="00525F49"/>
    <w:rsid w:val="00525FC0"/>
    <w:rsid w:val="00526043"/>
    <w:rsid w:val="0053021D"/>
    <w:rsid w:val="00534D19"/>
    <w:rsid w:val="005360F4"/>
    <w:rsid w:val="00536CF8"/>
    <w:rsid w:val="00542099"/>
    <w:rsid w:val="00545813"/>
    <w:rsid w:val="00550697"/>
    <w:rsid w:val="00550C5E"/>
    <w:rsid w:val="00550FD4"/>
    <w:rsid w:val="0055421B"/>
    <w:rsid w:val="0055517E"/>
    <w:rsid w:val="005568DF"/>
    <w:rsid w:val="005600F8"/>
    <w:rsid w:val="00560849"/>
    <w:rsid w:val="0056306A"/>
    <w:rsid w:val="00563A56"/>
    <w:rsid w:val="00564602"/>
    <w:rsid w:val="005649FF"/>
    <w:rsid w:val="00564F46"/>
    <w:rsid w:val="00565CEB"/>
    <w:rsid w:val="00566E97"/>
    <w:rsid w:val="00567F37"/>
    <w:rsid w:val="005736E9"/>
    <w:rsid w:val="00575009"/>
    <w:rsid w:val="00575A4C"/>
    <w:rsid w:val="00576DB7"/>
    <w:rsid w:val="0057729D"/>
    <w:rsid w:val="00580468"/>
    <w:rsid w:val="00580481"/>
    <w:rsid w:val="005855DF"/>
    <w:rsid w:val="00585C9F"/>
    <w:rsid w:val="005872BE"/>
    <w:rsid w:val="00587A41"/>
    <w:rsid w:val="005929E9"/>
    <w:rsid w:val="00593AFF"/>
    <w:rsid w:val="00593B2A"/>
    <w:rsid w:val="00594A76"/>
    <w:rsid w:val="00595FFB"/>
    <w:rsid w:val="0059648F"/>
    <w:rsid w:val="005969D7"/>
    <w:rsid w:val="005977BD"/>
    <w:rsid w:val="005A05F2"/>
    <w:rsid w:val="005A17EA"/>
    <w:rsid w:val="005A233F"/>
    <w:rsid w:val="005A2867"/>
    <w:rsid w:val="005A455F"/>
    <w:rsid w:val="005A55E1"/>
    <w:rsid w:val="005A5848"/>
    <w:rsid w:val="005B1935"/>
    <w:rsid w:val="005B2F9A"/>
    <w:rsid w:val="005B7048"/>
    <w:rsid w:val="005B7FB6"/>
    <w:rsid w:val="005C065D"/>
    <w:rsid w:val="005C172C"/>
    <w:rsid w:val="005C272C"/>
    <w:rsid w:val="005C5C87"/>
    <w:rsid w:val="005C6DDC"/>
    <w:rsid w:val="005C7ABF"/>
    <w:rsid w:val="005D0571"/>
    <w:rsid w:val="005D0F48"/>
    <w:rsid w:val="005D1E07"/>
    <w:rsid w:val="005D2E42"/>
    <w:rsid w:val="005D4453"/>
    <w:rsid w:val="005D6E64"/>
    <w:rsid w:val="005E0223"/>
    <w:rsid w:val="005E60BA"/>
    <w:rsid w:val="005E6E58"/>
    <w:rsid w:val="005E6FAE"/>
    <w:rsid w:val="005F100E"/>
    <w:rsid w:val="005F27BD"/>
    <w:rsid w:val="005F32F3"/>
    <w:rsid w:val="005F5399"/>
    <w:rsid w:val="005F6BA9"/>
    <w:rsid w:val="005F72FD"/>
    <w:rsid w:val="005F7E48"/>
    <w:rsid w:val="006037B2"/>
    <w:rsid w:val="0060395A"/>
    <w:rsid w:val="0060401F"/>
    <w:rsid w:val="0061077D"/>
    <w:rsid w:val="00610F5E"/>
    <w:rsid w:val="00612E37"/>
    <w:rsid w:val="00613471"/>
    <w:rsid w:val="00615CD5"/>
    <w:rsid w:val="00620B93"/>
    <w:rsid w:val="006210CE"/>
    <w:rsid w:val="00624538"/>
    <w:rsid w:val="006256BF"/>
    <w:rsid w:val="00627312"/>
    <w:rsid w:val="00630B4C"/>
    <w:rsid w:val="006338B6"/>
    <w:rsid w:val="00634230"/>
    <w:rsid w:val="00635FA8"/>
    <w:rsid w:val="006360BB"/>
    <w:rsid w:val="00636E6A"/>
    <w:rsid w:val="00637004"/>
    <w:rsid w:val="006416DB"/>
    <w:rsid w:val="00641B3E"/>
    <w:rsid w:val="00643CBF"/>
    <w:rsid w:val="00644A84"/>
    <w:rsid w:val="00647575"/>
    <w:rsid w:val="0064791C"/>
    <w:rsid w:val="00647B07"/>
    <w:rsid w:val="0065035D"/>
    <w:rsid w:val="006505AD"/>
    <w:rsid w:val="006534C6"/>
    <w:rsid w:val="00653638"/>
    <w:rsid w:val="006544F3"/>
    <w:rsid w:val="00654958"/>
    <w:rsid w:val="00655ACC"/>
    <w:rsid w:val="006616EC"/>
    <w:rsid w:val="00663386"/>
    <w:rsid w:val="006648E3"/>
    <w:rsid w:val="00664C45"/>
    <w:rsid w:val="0066568F"/>
    <w:rsid w:val="00666455"/>
    <w:rsid w:val="006705B9"/>
    <w:rsid w:val="00671299"/>
    <w:rsid w:val="0067194A"/>
    <w:rsid w:val="00673194"/>
    <w:rsid w:val="006779B7"/>
    <w:rsid w:val="00677AC6"/>
    <w:rsid w:val="006802A9"/>
    <w:rsid w:val="00680387"/>
    <w:rsid w:val="00682E0A"/>
    <w:rsid w:val="00685AB8"/>
    <w:rsid w:val="00692342"/>
    <w:rsid w:val="00692423"/>
    <w:rsid w:val="006945BB"/>
    <w:rsid w:val="006967B3"/>
    <w:rsid w:val="00696C4F"/>
    <w:rsid w:val="006A16FF"/>
    <w:rsid w:val="006A48D0"/>
    <w:rsid w:val="006B0123"/>
    <w:rsid w:val="006B08C8"/>
    <w:rsid w:val="006B1333"/>
    <w:rsid w:val="006B1BA1"/>
    <w:rsid w:val="006B25AA"/>
    <w:rsid w:val="006B64DA"/>
    <w:rsid w:val="006C10E2"/>
    <w:rsid w:val="006C181A"/>
    <w:rsid w:val="006C4206"/>
    <w:rsid w:val="006C425D"/>
    <w:rsid w:val="006C53A0"/>
    <w:rsid w:val="006C54B8"/>
    <w:rsid w:val="006C584B"/>
    <w:rsid w:val="006C601A"/>
    <w:rsid w:val="006C656C"/>
    <w:rsid w:val="006C7820"/>
    <w:rsid w:val="006D017B"/>
    <w:rsid w:val="006D1103"/>
    <w:rsid w:val="006D19EA"/>
    <w:rsid w:val="006D2DB9"/>
    <w:rsid w:val="006D4486"/>
    <w:rsid w:val="006D6F61"/>
    <w:rsid w:val="006D7868"/>
    <w:rsid w:val="006E09BE"/>
    <w:rsid w:val="006E2A41"/>
    <w:rsid w:val="006E3C61"/>
    <w:rsid w:val="006E7308"/>
    <w:rsid w:val="006F08DA"/>
    <w:rsid w:val="006F1805"/>
    <w:rsid w:val="006F234A"/>
    <w:rsid w:val="006F2F75"/>
    <w:rsid w:val="006F35AC"/>
    <w:rsid w:val="006F38F0"/>
    <w:rsid w:val="006F4B21"/>
    <w:rsid w:val="006F597B"/>
    <w:rsid w:val="006F5C47"/>
    <w:rsid w:val="006F5EEB"/>
    <w:rsid w:val="006F74DB"/>
    <w:rsid w:val="006F7A67"/>
    <w:rsid w:val="007032A2"/>
    <w:rsid w:val="00703871"/>
    <w:rsid w:val="00705E72"/>
    <w:rsid w:val="007063D0"/>
    <w:rsid w:val="0070641F"/>
    <w:rsid w:val="007070FC"/>
    <w:rsid w:val="00707220"/>
    <w:rsid w:val="00711340"/>
    <w:rsid w:val="00711A4E"/>
    <w:rsid w:val="0071612C"/>
    <w:rsid w:val="00717882"/>
    <w:rsid w:val="007214C2"/>
    <w:rsid w:val="007240A9"/>
    <w:rsid w:val="00725961"/>
    <w:rsid w:val="0072696F"/>
    <w:rsid w:val="0073053E"/>
    <w:rsid w:val="00732400"/>
    <w:rsid w:val="00735E52"/>
    <w:rsid w:val="00736170"/>
    <w:rsid w:val="0073651C"/>
    <w:rsid w:val="00737836"/>
    <w:rsid w:val="00741462"/>
    <w:rsid w:val="00741A61"/>
    <w:rsid w:val="0074294A"/>
    <w:rsid w:val="00742E20"/>
    <w:rsid w:val="00743816"/>
    <w:rsid w:val="00743D9C"/>
    <w:rsid w:val="00745D23"/>
    <w:rsid w:val="00745FC5"/>
    <w:rsid w:val="0074624F"/>
    <w:rsid w:val="00746746"/>
    <w:rsid w:val="007506B9"/>
    <w:rsid w:val="00750AE3"/>
    <w:rsid w:val="00754427"/>
    <w:rsid w:val="007546A7"/>
    <w:rsid w:val="00754E65"/>
    <w:rsid w:val="00755D80"/>
    <w:rsid w:val="00756894"/>
    <w:rsid w:val="00757A24"/>
    <w:rsid w:val="0076055C"/>
    <w:rsid w:val="0076094D"/>
    <w:rsid w:val="00761CE0"/>
    <w:rsid w:val="00762095"/>
    <w:rsid w:val="00762477"/>
    <w:rsid w:val="00764A82"/>
    <w:rsid w:val="00771038"/>
    <w:rsid w:val="007724EC"/>
    <w:rsid w:val="00774DD7"/>
    <w:rsid w:val="007769BA"/>
    <w:rsid w:val="007815BF"/>
    <w:rsid w:val="00783F95"/>
    <w:rsid w:val="00784D19"/>
    <w:rsid w:val="00785F56"/>
    <w:rsid w:val="00786881"/>
    <w:rsid w:val="00787076"/>
    <w:rsid w:val="00787AED"/>
    <w:rsid w:val="00787F13"/>
    <w:rsid w:val="00790A2D"/>
    <w:rsid w:val="00791586"/>
    <w:rsid w:val="00791C4B"/>
    <w:rsid w:val="00794A52"/>
    <w:rsid w:val="00795977"/>
    <w:rsid w:val="00796B06"/>
    <w:rsid w:val="00797A7B"/>
    <w:rsid w:val="007A1687"/>
    <w:rsid w:val="007A16F3"/>
    <w:rsid w:val="007A257F"/>
    <w:rsid w:val="007A2979"/>
    <w:rsid w:val="007A347B"/>
    <w:rsid w:val="007A50E1"/>
    <w:rsid w:val="007A610E"/>
    <w:rsid w:val="007B488A"/>
    <w:rsid w:val="007B512B"/>
    <w:rsid w:val="007B6C80"/>
    <w:rsid w:val="007B779B"/>
    <w:rsid w:val="007C038E"/>
    <w:rsid w:val="007C1062"/>
    <w:rsid w:val="007C2022"/>
    <w:rsid w:val="007C2559"/>
    <w:rsid w:val="007C3376"/>
    <w:rsid w:val="007C399F"/>
    <w:rsid w:val="007C45BB"/>
    <w:rsid w:val="007D00CA"/>
    <w:rsid w:val="007D09AC"/>
    <w:rsid w:val="007D126A"/>
    <w:rsid w:val="007D1513"/>
    <w:rsid w:val="007D3AFB"/>
    <w:rsid w:val="007D576A"/>
    <w:rsid w:val="007D5FD1"/>
    <w:rsid w:val="007D655B"/>
    <w:rsid w:val="007D65F4"/>
    <w:rsid w:val="007E1E17"/>
    <w:rsid w:val="007E2017"/>
    <w:rsid w:val="007E3074"/>
    <w:rsid w:val="007E4C48"/>
    <w:rsid w:val="007E5069"/>
    <w:rsid w:val="007E5D49"/>
    <w:rsid w:val="007F2C04"/>
    <w:rsid w:val="007F3927"/>
    <w:rsid w:val="007F4441"/>
    <w:rsid w:val="007F5116"/>
    <w:rsid w:val="007F6695"/>
    <w:rsid w:val="007F72A0"/>
    <w:rsid w:val="007F7ACE"/>
    <w:rsid w:val="008032D7"/>
    <w:rsid w:val="0080388D"/>
    <w:rsid w:val="00804EC6"/>
    <w:rsid w:val="00805586"/>
    <w:rsid w:val="00806EDC"/>
    <w:rsid w:val="008104A8"/>
    <w:rsid w:val="0081158A"/>
    <w:rsid w:val="00811F3E"/>
    <w:rsid w:val="008144C6"/>
    <w:rsid w:val="008178DB"/>
    <w:rsid w:val="0082097D"/>
    <w:rsid w:val="00821863"/>
    <w:rsid w:val="00823252"/>
    <w:rsid w:val="00823328"/>
    <w:rsid w:val="00823D4B"/>
    <w:rsid w:val="00823F10"/>
    <w:rsid w:val="008246DB"/>
    <w:rsid w:val="00826599"/>
    <w:rsid w:val="008303B8"/>
    <w:rsid w:val="008306F0"/>
    <w:rsid w:val="00830EA1"/>
    <w:rsid w:val="00833850"/>
    <w:rsid w:val="008339A4"/>
    <w:rsid w:val="00833F73"/>
    <w:rsid w:val="00835CBD"/>
    <w:rsid w:val="00836B98"/>
    <w:rsid w:val="008379B7"/>
    <w:rsid w:val="00840714"/>
    <w:rsid w:val="00843997"/>
    <w:rsid w:val="008443FE"/>
    <w:rsid w:val="00845A46"/>
    <w:rsid w:val="00845AD9"/>
    <w:rsid w:val="00845C65"/>
    <w:rsid w:val="00845DE1"/>
    <w:rsid w:val="00850F4F"/>
    <w:rsid w:val="00851592"/>
    <w:rsid w:val="008519E8"/>
    <w:rsid w:val="00851C12"/>
    <w:rsid w:val="00852413"/>
    <w:rsid w:val="0085380F"/>
    <w:rsid w:val="0085505C"/>
    <w:rsid w:val="00857291"/>
    <w:rsid w:val="0085786B"/>
    <w:rsid w:val="008604B7"/>
    <w:rsid w:val="008608E9"/>
    <w:rsid w:val="00861A91"/>
    <w:rsid w:val="00863398"/>
    <w:rsid w:val="00864F60"/>
    <w:rsid w:val="00866479"/>
    <w:rsid w:val="00866C77"/>
    <w:rsid w:val="00870C90"/>
    <w:rsid w:val="008752C4"/>
    <w:rsid w:val="0087761B"/>
    <w:rsid w:val="00880800"/>
    <w:rsid w:val="00882423"/>
    <w:rsid w:val="008835E5"/>
    <w:rsid w:val="00886A45"/>
    <w:rsid w:val="00890014"/>
    <w:rsid w:val="00891402"/>
    <w:rsid w:val="008920CA"/>
    <w:rsid w:val="00894D1F"/>
    <w:rsid w:val="00894D91"/>
    <w:rsid w:val="00896C6E"/>
    <w:rsid w:val="008A049A"/>
    <w:rsid w:val="008A06B0"/>
    <w:rsid w:val="008A1100"/>
    <w:rsid w:val="008A1A66"/>
    <w:rsid w:val="008A2F0B"/>
    <w:rsid w:val="008A3BDD"/>
    <w:rsid w:val="008A4A4F"/>
    <w:rsid w:val="008A4C2F"/>
    <w:rsid w:val="008A51BE"/>
    <w:rsid w:val="008A7F38"/>
    <w:rsid w:val="008B0380"/>
    <w:rsid w:val="008B1636"/>
    <w:rsid w:val="008B2159"/>
    <w:rsid w:val="008B3D8C"/>
    <w:rsid w:val="008B5686"/>
    <w:rsid w:val="008B59A1"/>
    <w:rsid w:val="008C016D"/>
    <w:rsid w:val="008C0447"/>
    <w:rsid w:val="008C13B4"/>
    <w:rsid w:val="008C2476"/>
    <w:rsid w:val="008C29AE"/>
    <w:rsid w:val="008C39C6"/>
    <w:rsid w:val="008C557D"/>
    <w:rsid w:val="008C55D4"/>
    <w:rsid w:val="008D2275"/>
    <w:rsid w:val="008D3EA1"/>
    <w:rsid w:val="008D4BDE"/>
    <w:rsid w:val="008D57D0"/>
    <w:rsid w:val="008D66E4"/>
    <w:rsid w:val="008E2448"/>
    <w:rsid w:val="008E53AE"/>
    <w:rsid w:val="008E615C"/>
    <w:rsid w:val="008E7646"/>
    <w:rsid w:val="008F1727"/>
    <w:rsid w:val="008F27D9"/>
    <w:rsid w:val="008F5E4F"/>
    <w:rsid w:val="00900D9C"/>
    <w:rsid w:val="00901C1F"/>
    <w:rsid w:val="00902F1E"/>
    <w:rsid w:val="00903968"/>
    <w:rsid w:val="00905162"/>
    <w:rsid w:val="00905AB4"/>
    <w:rsid w:val="00906544"/>
    <w:rsid w:val="0090745F"/>
    <w:rsid w:val="009114D6"/>
    <w:rsid w:val="00911E8B"/>
    <w:rsid w:val="00912870"/>
    <w:rsid w:val="00912C44"/>
    <w:rsid w:val="009133A3"/>
    <w:rsid w:val="009147FA"/>
    <w:rsid w:val="009154D2"/>
    <w:rsid w:val="0091649D"/>
    <w:rsid w:val="00916F46"/>
    <w:rsid w:val="00920289"/>
    <w:rsid w:val="00920499"/>
    <w:rsid w:val="009252D9"/>
    <w:rsid w:val="00925936"/>
    <w:rsid w:val="00926FBB"/>
    <w:rsid w:val="00927719"/>
    <w:rsid w:val="009312E7"/>
    <w:rsid w:val="00931A46"/>
    <w:rsid w:val="00933101"/>
    <w:rsid w:val="00933145"/>
    <w:rsid w:val="009333C3"/>
    <w:rsid w:val="00933A86"/>
    <w:rsid w:val="009340CB"/>
    <w:rsid w:val="009344CF"/>
    <w:rsid w:val="00935FE4"/>
    <w:rsid w:val="009375F4"/>
    <w:rsid w:val="00942FD9"/>
    <w:rsid w:val="00946A69"/>
    <w:rsid w:val="00947451"/>
    <w:rsid w:val="00950186"/>
    <w:rsid w:val="0095122A"/>
    <w:rsid w:val="00951F6D"/>
    <w:rsid w:val="00952A97"/>
    <w:rsid w:val="00953192"/>
    <w:rsid w:val="009535F1"/>
    <w:rsid w:val="009544AD"/>
    <w:rsid w:val="00955EC4"/>
    <w:rsid w:val="00957459"/>
    <w:rsid w:val="00960D6E"/>
    <w:rsid w:val="009615FB"/>
    <w:rsid w:val="00962144"/>
    <w:rsid w:val="00963285"/>
    <w:rsid w:val="009652EE"/>
    <w:rsid w:val="009670D8"/>
    <w:rsid w:val="00971A62"/>
    <w:rsid w:val="00974D37"/>
    <w:rsid w:val="009757DC"/>
    <w:rsid w:val="0097608B"/>
    <w:rsid w:val="009761FB"/>
    <w:rsid w:val="00983515"/>
    <w:rsid w:val="00983D9A"/>
    <w:rsid w:val="00983E95"/>
    <w:rsid w:val="0098400E"/>
    <w:rsid w:val="00985994"/>
    <w:rsid w:val="009902EA"/>
    <w:rsid w:val="009918E4"/>
    <w:rsid w:val="00993118"/>
    <w:rsid w:val="00994965"/>
    <w:rsid w:val="00994F03"/>
    <w:rsid w:val="009A162F"/>
    <w:rsid w:val="009A1A45"/>
    <w:rsid w:val="009A4D5A"/>
    <w:rsid w:val="009A6500"/>
    <w:rsid w:val="009A670A"/>
    <w:rsid w:val="009A6D09"/>
    <w:rsid w:val="009A726D"/>
    <w:rsid w:val="009B004C"/>
    <w:rsid w:val="009B0C75"/>
    <w:rsid w:val="009B15FF"/>
    <w:rsid w:val="009B1758"/>
    <w:rsid w:val="009B4714"/>
    <w:rsid w:val="009B5B0F"/>
    <w:rsid w:val="009B6678"/>
    <w:rsid w:val="009B72D0"/>
    <w:rsid w:val="009B75F4"/>
    <w:rsid w:val="009C112C"/>
    <w:rsid w:val="009C572B"/>
    <w:rsid w:val="009C648F"/>
    <w:rsid w:val="009C779F"/>
    <w:rsid w:val="009D055F"/>
    <w:rsid w:val="009D17EF"/>
    <w:rsid w:val="009D2AA3"/>
    <w:rsid w:val="009D2C8A"/>
    <w:rsid w:val="009D5563"/>
    <w:rsid w:val="009E67A6"/>
    <w:rsid w:val="009F26C2"/>
    <w:rsid w:val="009F3FAA"/>
    <w:rsid w:val="009F4E0C"/>
    <w:rsid w:val="009F51A0"/>
    <w:rsid w:val="00A012AB"/>
    <w:rsid w:val="00A02FA2"/>
    <w:rsid w:val="00A037CC"/>
    <w:rsid w:val="00A05955"/>
    <w:rsid w:val="00A05E1E"/>
    <w:rsid w:val="00A063B9"/>
    <w:rsid w:val="00A07032"/>
    <w:rsid w:val="00A07983"/>
    <w:rsid w:val="00A11450"/>
    <w:rsid w:val="00A11D39"/>
    <w:rsid w:val="00A13F73"/>
    <w:rsid w:val="00A159B5"/>
    <w:rsid w:val="00A1603E"/>
    <w:rsid w:val="00A16713"/>
    <w:rsid w:val="00A16795"/>
    <w:rsid w:val="00A17E51"/>
    <w:rsid w:val="00A22B8D"/>
    <w:rsid w:val="00A2534A"/>
    <w:rsid w:val="00A30201"/>
    <w:rsid w:val="00A3195C"/>
    <w:rsid w:val="00A31CD5"/>
    <w:rsid w:val="00A327F5"/>
    <w:rsid w:val="00A32F48"/>
    <w:rsid w:val="00A3669A"/>
    <w:rsid w:val="00A37A48"/>
    <w:rsid w:val="00A409ED"/>
    <w:rsid w:val="00A417CB"/>
    <w:rsid w:val="00A41A68"/>
    <w:rsid w:val="00A42501"/>
    <w:rsid w:val="00A4675C"/>
    <w:rsid w:val="00A50360"/>
    <w:rsid w:val="00A5048C"/>
    <w:rsid w:val="00A5078F"/>
    <w:rsid w:val="00A50B93"/>
    <w:rsid w:val="00A5116B"/>
    <w:rsid w:val="00A52349"/>
    <w:rsid w:val="00A52C49"/>
    <w:rsid w:val="00A533C5"/>
    <w:rsid w:val="00A568DC"/>
    <w:rsid w:val="00A56E2E"/>
    <w:rsid w:val="00A6007C"/>
    <w:rsid w:val="00A621C1"/>
    <w:rsid w:val="00A62AA2"/>
    <w:rsid w:val="00A64104"/>
    <w:rsid w:val="00A64637"/>
    <w:rsid w:val="00A658FB"/>
    <w:rsid w:val="00A65E11"/>
    <w:rsid w:val="00A66BCF"/>
    <w:rsid w:val="00A66DB5"/>
    <w:rsid w:val="00A67008"/>
    <w:rsid w:val="00A67421"/>
    <w:rsid w:val="00A70EB0"/>
    <w:rsid w:val="00A71D6D"/>
    <w:rsid w:val="00A72CAB"/>
    <w:rsid w:val="00A73BC1"/>
    <w:rsid w:val="00A73D45"/>
    <w:rsid w:val="00A75538"/>
    <w:rsid w:val="00A77CF0"/>
    <w:rsid w:val="00A77DD4"/>
    <w:rsid w:val="00A802F8"/>
    <w:rsid w:val="00A83C6F"/>
    <w:rsid w:val="00A86422"/>
    <w:rsid w:val="00A86585"/>
    <w:rsid w:val="00A874C5"/>
    <w:rsid w:val="00A8788D"/>
    <w:rsid w:val="00A91942"/>
    <w:rsid w:val="00A9288B"/>
    <w:rsid w:val="00A928CD"/>
    <w:rsid w:val="00A969BD"/>
    <w:rsid w:val="00A97A48"/>
    <w:rsid w:val="00AA1B68"/>
    <w:rsid w:val="00AA301B"/>
    <w:rsid w:val="00AA30A3"/>
    <w:rsid w:val="00AA3E46"/>
    <w:rsid w:val="00AA4AE2"/>
    <w:rsid w:val="00AA5A95"/>
    <w:rsid w:val="00AA72E7"/>
    <w:rsid w:val="00AB2749"/>
    <w:rsid w:val="00AB4F93"/>
    <w:rsid w:val="00AB56E1"/>
    <w:rsid w:val="00AB62A2"/>
    <w:rsid w:val="00AB63A8"/>
    <w:rsid w:val="00AC33AA"/>
    <w:rsid w:val="00AC3B76"/>
    <w:rsid w:val="00AC48D2"/>
    <w:rsid w:val="00AD0B2F"/>
    <w:rsid w:val="00AD2F3E"/>
    <w:rsid w:val="00AD2FBE"/>
    <w:rsid w:val="00AD3422"/>
    <w:rsid w:val="00AD3BED"/>
    <w:rsid w:val="00AD669D"/>
    <w:rsid w:val="00AD731A"/>
    <w:rsid w:val="00AE08DB"/>
    <w:rsid w:val="00AE2EB1"/>
    <w:rsid w:val="00AE3DD5"/>
    <w:rsid w:val="00AE400A"/>
    <w:rsid w:val="00AE51E8"/>
    <w:rsid w:val="00AF1B51"/>
    <w:rsid w:val="00AF2C43"/>
    <w:rsid w:val="00AF360A"/>
    <w:rsid w:val="00AF5003"/>
    <w:rsid w:val="00AF63D8"/>
    <w:rsid w:val="00AF69DE"/>
    <w:rsid w:val="00B005F5"/>
    <w:rsid w:val="00B05E25"/>
    <w:rsid w:val="00B061D5"/>
    <w:rsid w:val="00B06482"/>
    <w:rsid w:val="00B07FF7"/>
    <w:rsid w:val="00B11164"/>
    <w:rsid w:val="00B14E9B"/>
    <w:rsid w:val="00B14EFE"/>
    <w:rsid w:val="00B16A33"/>
    <w:rsid w:val="00B1713E"/>
    <w:rsid w:val="00B17E0E"/>
    <w:rsid w:val="00B20CFA"/>
    <w:rsid w:val="00B21EEF"/>
    <w:rsid w:val="00B2228B"/>
    <w:rsid w:val="00B228EE"/>
    <w:rsid w:val="00B249EE"/>
    <w:rsid w:val="00B24E86"/>
    <w:rsid w:val="00B25703"/>
    <w:rsid w:val="00B30419"/>
    <w:rsid w:val="00B305BF"/>
    <w:rsid w:val="00B3275F"/>
    <w:rsid w:val="00B35CE9"/>
    <w:rsid w:val="00B36EF8"/>
    <w:rsid w:val="00B3722A"/>
    <w:rsid w:val="00B41F3E"/>
    <w:rsid w:val="00B43F55"/>
    <w:rsid w:val="00B44A24"/>
    <w:rsid w:val="00B451F4"/>
    <w:rsid w:val="00B456EC"/>
    <w:rsid w:val="00B46E63"/>
    <w:rsid w:val="00B472F1"/>
    <w:rsid w:val="00B47412"/>
    <w:rsid w:val="00B50270"/>
    <w:rsid w:val="00B50A18"/>
    <w:rsid w:val="00B511FF"/>
    <w:rsid w:val="00B5187A"/>
    <w:rsid w:val="00B523BD"/>
    <w:rsid w:val="00B53379"/>
    <w:rsid w:val="00B54342"/>
    <w:rsid w:val="00B5446D"/>
    <w:rsid w:val="00B54B44"/>
    <w:rsid w:val="00B578AC"/>
    <w:rsid w:val="00B62192"/>
    <w:rsid w:val="00B63033"/>
    <w:rsid w:val="00B647E5"/>
    <w:rsid w:val="00B64B51"/>
    <w:rsid w:val="00B64BC4"/>
    <w:rsid w:val="00B663E4"/>
    <w:rsid w:val="00B66833"/>
    <w:rsid w:val="00B71925"/>
    <w:rsid w:val="00B733C9"/>
    <w:rsid w:val="00B7575E"/>
    <w:rsid w:val="00B81241"/>
    <w:rsid w:val="00B81D81"/>
    <w:rsid w:val="00B83FF0"/>
    <w:rsid w:val="00B85E55"/>
    <w:rsid w:val="00B90D12"/>
    <w:rsid w:val="00B90F1D"/>
    <w:rsid w:val="00B96E8A"/>
    <w:rsid w:val="00BA08C2"/>
    <w:rsid w:val="00BA0C4E"/>
    <w:rsid w:val="00BA387D"/>
    <w:rsid w:val="00BA5314"/>
    <w:rsid w:val="00BA5884"/>
    <w:rsid w:val="00BA68FF"/>
    <w:rsid w:val="00BB5D7E"/>
    <w:rsid w:val="00BB6E79"/>
    <w:rsid w:val="00BB6F6C"/>
    <w:rsid w:val="00BB7084"/>
    <w:rsid w:val="00BB7823"/>
    <w:rsid w:val="00BC2135"/>
    <w:rsid w:val="00BC2505"/>
    <w:rsid w:val="00BC4C21"/>
    <w:rsid w:val="00BD18E7"/>
    <w:rsid w:val="00BD4DB1"/>
    <w:rsid w:val="00BD7F11"/>
    <w:rsid w:val="00BE1853"/>
    <w:rsid w:val="00BE2A88"/>
    <w:rsid w:val="00BE552B"/>
    <w:rsid w:val="00BF0707"/>
    <w:rsid w:val="00BF1B06"/>
    <w:rsid w:val="00BF24A0"/>
    <w:rsid w:val="00BF4182"/>
    <w:rsid w:val="00BF6C0E"/>
    <w:rsid w:val="00BF7F63"/>
    <w:rsid w:val="00C0081B"/>
    <w:rsid w:val="00C01055"/>
    <w:rsid w:val="00C02E52"/>
    <w:rsid w:val="00C10565"/>
    <w:rsid w:val="00C117DE"/>
    <w:rsid w:val="00C1395C"/>
    <w:rsid w:val="00C14EED"/>
    <w:rsid w:val="00C1559A"/>
    <w:rsid w:val="00C15F15"/>
    <w:rsid w:val="00C17D34"/>
    <w:rsid w:val="00C2277E"/>
    <w:rsid w:val="00C23229"/>
    <w:rsid w:val="00C24063"/>
    <w:rsid w:val="00C24733"/>
    <w:rsid w:val="00C2646E"/>
    <w:rsid w:val="00C26DDB"/>
    <w:rsid w:val="00C27891"/>
    <w:rsid w:val="00C27B36"/>
    <w:rsid w:val="00C331CE"/>
    <w:rsid w:val="00C333A8"/>
    <w:rsid w:val="00C33C75"/>
    <w:rsid w:val="00C4124A"/>
    <w:rsid w:val="00C444D6"/>
    <w:rsid w:val="00C44828"/>
    <w:rsid w:val="00C464FE"/>
    <w:rsid w:val="00C46E00"/>
    <w:rsid w:val="00C50AED"/>
    <w:rsid w:val="00C53B0B"/>
    <w:rsid w:val="00C56327"/>
    <w:rsid w:val="00C61665"/>
    <w:rsid w:val="00C64FE2"/>
    <w:rsid w:val="00C66F9B"/>
    <w:rsid w:val="00C67967"/>
    <w:rsid w:val="00C7218C"/>
    <w:rsid w:val="00C72E59"/>
    <w:rsid w:val="00C748C8"/>
    <w:rsid w:val="00C835CD"/>
    <w:rsid w:val="00C8557D"/>
    <w:rsid w:val="00C87B93"/>
    <w:rsid w:val="00C87C65"/>
    <w:rsid w:val="00C94402"/>
    <w:rsid w:val="00C951A7"/>
    <w:rsid w:val="00CA2745"/>
    <w:rsid w:val="00CA2934"/>
    <w:rsid w:val="00CA3AA9"/>
    <w:rsid w:val="00CA3D20"/>
    <w:rsid w:val="00CA5430"/>
    <w:rsid w:val="00CA6B17"/>
    <w:rsid w:val="00CB0E24"/>
    <w:rsid w:val="00CB1588"/>
    <w:rsid w:val="00CB198B"/>
    <w:rsid w:val="00CB1B1F"/>
    <w:rsid w:val="00CB20D1"/>
    <w:rsid w:val="00CB2656"/>
    <w:rsid w:val="00CB31B3"/>
    <w:rsid w:val="00CB5BB4"/>
    <w:rsid w:val="00CB625D"/>
    <w:rsid w:val="00CB6304"/>
    <w:rsid w:val="00CB6FAA"/>
    <w:rsid w:val="00CB723E"/>
    <w:rsid w:val="00CB762E"/>
    <w:rsid w:val="00CC1061"/>
    <w:rsid w:val="00CC16F9"/>
    <w:rsid w:val="00CC1EE0"/>
    <w:rsid w:val="00CC47E2"/>
    <w:rsid w:val="00CC5484"/>
    <w:rsid w:val="00CC5B4B"/>
    <w:rsid w:val="00CC6DA5"/>
    <w:rsid w:val="00CC6DFC"/>
    <w:rsid w:val="00CC7447"/>
    <w:rsid w:val="00CC75F0"/>
    <w:rsid w:val="00CC78D6"/>
    <w:rsid w:val="00CD03AB"/>
    <w:rsid w:val="00CD0FCF"/>
    <w:rsid w:val="00CD14E0"/>
    <w:rsid w:val="00CD1EC7"/>
    <w:rsid w:val="00CD2BB3"/>
    <w:rsid w:val="00CD5A8E"/>
    <w:rsid w:val="00CD6FDA"/>
    <w:rsid w:val="00CD7B1C"/>
    <w:rsid w:val="00CE2333"/>
    <w:rsid w:val="00CF1569"/>
    <w:rsid w:val="00CF2CF9"/>
    <w:rsid w:val="00CF3C60"/>
    <w:rsid w:val="00CF3E4B"/>
    <w:rsid w:val="00CF5632"/>
    <w:rsid w:val="00CF5805"/>
    <w:rsid w:val="00CF6421"/>
    <w:rsid w:val="00CF6A6F"/>
    <w:rsid w:val="00D00786"/>
    <w:rsid w:val="00D01073"/>
    <w:rsid w:val="00D026B0"/>
    <w:rsid w:val="00D026E7"/>
    <w:rsid w:val="00D0466F"/>
    <w:rsid w:val="00D06B0C"/>
    <w:rsid w:val="00D10708"/>
    <w:rsid w:val="00D13348"/>
    <w:rsid w:val="00D14EF7"/>
    <w:rsid w:val="00D15FA9"/>
    <w:rsid w:val="00D161A9"/>
    <w:rsid w:val="00D17B64"/>
    <w:rsid w:val="00D2014A"/>
    <w:rsid w:val="00D213F3"/>
    <w:rsid w:val="00D22932"/>
    <w:rsid w:val="00D24072"/>
    <w:rsid w:val="00D24D8B"/>
    <w:rsid w:val="00D25182"/>
    <w:rsid w:val="00D27511"/>
    <w:rsid w:val="00D279E1"/>
    <w:rsid w:val="00D30ACB"/>
    <w:rsid w:val="00D32375"/>
    <w:rsid w:val="00D3487F"/>
    <w:rsid w:val="00D358AC"/>
    <w:rsid w:val="00D3594D"/>
    <w:rsid w:val="00D433E6"/>
    <w:rsid w:val="00D43F59"/>
    <w:rsid w:val="00D5029A"/>
    <w:rsid w:val="00D5031E"/>
    <w:rsid w:val="00D51BA6"/>
    <w:rsid w:val="00D5355F"/>
    <w:rsid w:val="00D54140"/>
    <w:rsid w:val="00D5570E"/>
    <w:rsid w:val="00D55E39"/>
    <w:rsid w:val="00D56D66"/>
    <w:rsid w:val="00D60177"/>
    <w:rsid w:val="00D60EB0"/>
    <w:rsid w:val="00D62CD8"/>
    <w:rsid w:val="00D62D1B"/>
    <w:rsid w:val="00D63C99"/>
    <w:rsid w:val="00D65597"/>
    <w:rsid w:val="00D73049"/>
    <w:rsid w:val="00D7366A"/>
    <w:rsid w:val="00D73BB9"/>
    <w:rsid w:val="00D7423C"/>
    <w:rsid w:val="00D80D0A"/>
    <w:rsid w:val="00D80EAE"/>
    <w:rsid w:val="00D8444B"/>
    <w:rsid w:val="00D85944"/>
    <w:rsid w:val="00D86F0B"/>
    <w:rsid w:val="00D87BA3"/>
    <w:rsid w:val="00D901D1"/>
    <w:rsid w:val="00D90A22"/>
    <w:rsid w:val="00D92F2B"/>
    <w:rsid w:val="00D94912"/>
    <w:rsid w:val="00D95607"/>
    <w:rsid w:val="00D97789"/>
    <w:rsid w:val="00DA1C3A"/>
    <w:rsid w:val="00DA2AC4"/>
    <w:rsid w:val="00DA4B4B"/>
    <w:rsid w:val="00DA5E38"/>
    <w:rsid w:val="00DB0105"/>
    <w:rsid w:val="00DB04A9"/>
    <w:rsid w:val="00DB0BEF"/>
    <w:rsid w:val="00DB2FE5"/>
    <w:rsid w:val="00DB4424"/>
    <w:rsid w:val="00DB54F7"/>
    <w:rsid w:val="00DB648E"/>
    <w:rsid w:val="00DB70D4"/>
    <w:rsid w:val="00DB78A1"/>
    <w:rsid w:val="00DC0589"/>
    <w:rsid w:val="00DC0919"/>
    <w:rsid w:val="00DC0D1B"/>
    <w:rsid w:val="00DC2E47"/>
    <w:rsid w:val="00DC4E1B"/>
    <w:rsid w:val="00DC6A38"/>
    <w:rsid w:val="00DD1AC3"/>
    <w:rsid w:val="00DD272B"/>
    <w:rsid w:val="00DD2B92"/>
    <w:rsid w:val="00DD3118"/>
    <w:rsid w:val="00DD344C"/>
    <w:rsid w:val="00DD5C56"/>
    <w:rsid w:val="00DE0D45"/>
    <w:rsid w:val="00DE206A"/>
    <w:rsid w:val="00DE5020"/>
    <w:rsid w:val="00DE5E41"/>
    <w:rsid w:val="00DE753E"/>
    <w:rsid w:val="00DE7E2C"/>
    <w:rsid w:val="00DE7FEB"/>
    <w:rsid w:val="00DF010F"/>
    <w:rsid w:val="00DF2416"/>
    <w:rsid w:val="00DF241D"/>
    <w:rsid w:val="00DF368B"/>
    <w:rsid w:val="00DF3B00"/>
    <w:rsid w:val="00DF6278"/>
    <w:rsid w:val="00E023D4"/>
    <w:rsid w:val="00E0271F"/>
    <w:rsid w:val="00E04371"/>
    <w:rsid w:val="00E05A11"/>
    <w:rsid w:val="00E05ADF"/>
    <w:rsid w:val="00E0788E"/>
    <w:rsid w:val="00E07FE6"/>
    <w:rsid w:val="00E107D7"/>
    <w:rsid w:val="00E107F0"/>
    <w:rsid w:val="00E10AFD"/>
    <w:rsid w:val="00E13C64"/>
    <w:rsid w:val="00E2276C"/>
    <w:rsid w:val="00E22B4B"/>
    <w:rsid w:val="00E24A57"/>
    <w:rsid w:val="00E24FEC"/>
    <w:rsid w:val="00E26256"/>
    <w:rsid w:val="00E344AE"/>
    <w:rsid w:val="00E36E48"/>
    <w:rsid w:val="00E37155"/>
    <w:rsid w:val="00E376C7"/>
    <w:rsid w:val="00E40695"/>
    <w:rsid w:val="00E41785"/>
    <w:rsid w:val="00E4302F"/>
    <w:rsid w:val="00E4317D"/>
    <w:rsid w:val="00E431D3"/>
    <w:rsid w:val="00E43F31"/>
    <w:rsid w:val="00E468D1"/>
    <w:rsid w:val="00E468E8"/>
    <w:rsid w:val="00E50340"/>
    <w:rsid w:val="00E53942"/>
    <w:rsid w:val="00E55A23"/>
    <w:rsid w:val="00E567E4"/>
    <w:rsid w:val="00E60AAE"/>
    <w:rsid w:val="00E60BA7"/>
    <w:rsid w:val="00E619FD"/>
    <w:rsid w:val="00E62625"/>
    <w:rsid w:val="00E63EBD"/>
    <w:rsid w:val="00E64F8E"/>
    <w:rsid w:val="00E71BC9"/>
    <w:rsid w:val="00E7214D"/>
    <w:rsid w:val="00E724D3"/>
    <w:rsid w:val="00E726DC"/>
    <w:rsid w:val="00E72900"/>
    <w:rsid w:val="00E73539"/>
    <w:rsid w:val="00E73F5A"/>
    <w:rsid w:val="00E73F69"/>
    <w:rsid w:val="00E75C0C"/>
    <w:rsid w:val="00E76822"/>
    <w:rsid w:val="00E80EEA"/>
    <w:rsid w:val="00E842C0"/>
    <w:rsid w:val="00E84453"/>
    <w:rsid w:val="00E86403"/>
    <w:rsid w:val="00E8693F"/>
    <w:rsid w:val="00E875D4"/>
    <w:rsid w:val="00E91E28"/>
    <w:rsid w:val="00E91E9D"/>
    <w:rsid w:val="00E94B77"/>
    <w:rsid w:val="00E95760"/>
    <w:rsid w:val="00E96F71"/>
    <w:rsid w:val="00E973C6"/>
    <w:rsid w:val="00E97454"/>
    <w:rsid w:val="00EA33A0"/>
    <w:rsid w:val="00EA3587"/>
    <w:rsid w:val="00EA364F"/>
    <w:rsid w:val="00EA44F1"/>
    <w:rsid w:val="00EA4926"/>
    <w:rsid w:val="00EA4C3F"/>
    <w:rsid w:val="00EA6279"/>
    <w:rsid w:val="00EA64D8"/>
    <w:rsid w:val="00EA7614"/>
    <w:rsid w:val="00EB0CEA"/>
    <w:rsid w:val="00EB0DFF"/>
    <w:rsid w:val="00EB14D5"/>
    <w:rsid w:val="00EB14D9"/>
    <w:rsid w:val="00EB187A"/>
    <w:rsid w:val="00EB1957"/>
    <w:rsid w:val="00EB1FCB"/>
    <w:rsid w:val="00EB40B9"/>
    <w:rsid w:val="00EB4184"/>
    <w:rsid w:val="00EB5645"/>
    <w:rsid w:val="00EB6AA8"/>
    <w:rsid w:val="00EB6DB2"/>
    <w:rsid w:val="00EB6FEA"/>
    <w:rsid w:val="00EC26B2"/>
    <w:rsid w:val="00EC7C11"/>
    <w:rsid w:val="00EC7EC8"/>
    <w:rsid w:val="00ED1323"/>
    <w:rsid w:val="00ED2143"/>
    <w:rsid w:val="00ED62E8"/>
    <w:rsid w:val="00ED6F90"/>
    <w:rsid w:val="00ED7BDD"/>
    <w:rsid w:val="00EE0750"/>
    <w:rsid w:val="00EE0CC0"/>
    <w:rsid w:val="00EE2AC3"/>
    <w:rsid w:val="00EE45F4"/>
    <w:rsid w:val="00EE59FE"/>
    <w:rsid w:val="00EE626B"/>
    <w:rsid w:val="00EE66C7"/>
    <w:rsid w:val="00EF3C99"/>
    <w:rsid w:val="00EF3EE8"/>
    <w:rsid w:val="00F00590"/>
    <w:rsid w:val="00F02873"/>
    <w:rsid w:val="00F0449C"/>
    <w:rsid w:val="00F07069"/>
    <w:rsid w:val="00F10789"/>
    <w:rsid w:val="00F110C9"/>
    <w:rsid w:val="00F11352"/>
    <w:rsid w:val="00F1173F"/>
    <w:rsid w:val="00F119AC"/>
    <w:rsid w:val="00F126A2"/>
    <w:rsid w:val="00F12E1E"/>
    <w:rsid w:val="00F14C76"/>
    <w:rsid w:val="00F14F49"/>
    <w:rsid w:val="00F15E77"/>
    <w:rsid w:val="00F161DC"/>
    <w:rsid w:val="00F17537"/>
    <w:rsid w:val="00F21224"/>
    <w:rsid w:val="00F22846"/>
    <w:rsid w:val="00F25700"/>
    <w:rsid w:val="00F304BD"/>
    <w:rsid w:val="00F30C30"/>
    <w:rsid w:val="00F311FB"/>
    <w:rsid w:val="00F31424"/>
    <w:rsid w:val="00F31BF8"/>
    <w:rsid w:val="00F329AE"/>
    <w:rsid w:val="00F34E74"/>
    <w:rsid w:val="00F35DA2"/>
    <w:rsid w:val="00F36055"/>
    <w:rsid w:val="00F36A71"/>
    <w:rsid w:val="00F3741A"/>
    <w:rsid w:val="00F40513"/>
    <w:rsid w:val="00F435FA"/>
    <w:rsid w:val="00F4634B"/>
    <w:rsid w:val="00F52577"/>
    <w:rsid w:val="00F533F9"/>
    <w:rsid w:val="00F53532"/>
    <w:rsid w:val="00F53987"/>
    <w:rsid w:val="00F572D9"/>
    <w:rsid w:val="00F5732A"/>
    <w:rsid w:val="00F601B8"/>
    <w:rsid w:val="00F60BED"/>
    <w:rsid w:val="00F62630"/>
    <w:rsid w:val="00F63686"/>
    <w:rsid w:val="00F64B80"/>
    <w:rsid w:val="00F66CD0"/>
    <w:rsid w:val="00F6701F"/>
    <w:rsid w:val="00F74BD0"/>
    <w:rsid w:val="00F80B17"/>
    <w:rsid w:val="00F80CBD"/>
    <w:rsid w:val="00F80E3A"/>
    <w:rsid w:val="00F833A3"/>
    <w:rsid w:val="00F8677A"/>
    <w:rsid w:val="00F8705F"/>
    <w:rsid w:val="00F87CA5"/>
    <w:rsid w:val="00F91D74"/>
    <w:rsid w:val="00F938CC"/>
    <w:rsid w:val="00F93A91"/>
    <w:rsid w:val="00F946C3"/>
    <w:rsid w:val="00F965E3"/>
    <w:rsid w:val="00F97BD9"/>
    <w:rsid w:val="00FA2939"/>
    <w:rsid w:val="00FA4238"/>
    <w:rsid w:val="00FA52FA"/>
    <w:rsid w:val="00FB1AF5"/>
    <w:rsid w:val="00FB1E1E"/>
    <w:rsid w:val="00FB226C"/>
    <w:rsid w:val="00FB4342"/>
    <w:rsid w:val="00FC3338"/>
    <w:rsid w:val="00FC4B80"/>
    <w:rsid w:val="00FC4CAB"/>
    <w:rsid w:val="00FC592F"/>
    <w:rsid w:val="00FC6890"/>
    <w:rsid w:val="00FC6CFC"/>
    <w:rsid w:val="00FD1899"/>
    <w:rsid w:val="00FD2059"/>
    <w:rsid w:val="00FD2685"/>
    <w:rsid w:val="00FD4C43"/>
    <w:rsid w:val="00FE001C"/>
    <w:rsid w:val="00FE0C16"/>
    <w:rsid w:val="00FE4309"/>
    <w:rsid w:val="00FE5972"/>
    <w:rsid w:val="00FE7D8B"/>
    <w:rsid w:val="00FF047F"/>
    <w:rsid w:val="00FF0933"/>
    <w:rsid w:val="00FF0A29"/>
    <w:rsid w:val="00FF19B5"/>
    <w:rsid w:val="00FF304E"/>
    <w:rsid w:val="00FF5B95"/>
    <w:rsid w:val="00FF6428"/>
    <w:rsid w:val="00FF6D14"/>
    <w:rsid w:val="00FF76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6D308-13E3-434F-B0A5-977BFCB1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251"/>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62251"/>
    <w:rPr>
      <w:sz w:val="24"/>
    </w:rPr>
  </w:style>
  <w:style w:type="character" w:customStyle="1" w:styleId="CorpodetextoChar">
    <w:name w:val="Corpo de texto Char"/>
    <w:basedOn w:val="Fontepargpadro"/>
    <w:link w:val="Corpodetexto"/>
    <w:rsid w:val="00262251"/>
    <w:rPr>
      <w:color w:val="000000"/>
      <w:sz w:val="24"/>
    </w:rPr>
  </w:style>
  <w:style w:type="paragraph" w:styleId="Cabealho">
    <w:name w:val="header"/>
    <w:basedOn w:val="Normal"/>
    <w:link w:val="CabealhoChar"/>
    <w:rsid w:val="00262251"/>
    <w:pPr>
      <w:tabs>
        <w:tab w:val="center" w:pos="4419"/>
        <w:tab w:val="right" w:pos="8838"/>
      </w:tabs>
    </w:pPr>
  </w:style>
  <w:style w:type="character" w:customStyle="1" w:styleId="CabealhoChar">
    <w:name w:val="Cabeçalho Char"/>
    <w:basedOn w:val="Fontepargpadro"/>
    <w:link w:val="Cabealho"/>
    <w:rsid w:val="00262251"/>
    <w:rPr>
      <w:color w:val="000000"/>
    </w:rPr>
  </w:style>
  <w:style w:type="paragraph" w:styleId="SemEspaamento">
    <w:name w:val="No Spacing"/>
    <w:uiPriority w:val="1"/>
    <w:qFormat/>
    <w:rsid w:val="002622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C8DEFDB2</Template>
  <TotalTime>1</TotalTime>
  <Pages>10</Pages>
  <Words>1533</Words>
  <Characters>8675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2015-04-08T11:57:00Z</cp:lastPrinted>
  <dcterms:created xsi:type="dcterms:W3CDTF">2016-03-11T14:15:00Z</dcterms:created>
  <dcterms:modified xsi:type="dcterms:W3CDTF">2016-03-11T14:16:00Z</dcterms:modified>
</cp:coreProperties>
</file>